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«Волочаевское сельское поселение»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Смидовичского муниципального района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25.12.2023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hint="default" w:ascii="Times New Roman" w:hAnsi="Times New Roman"/>
          <w:sz w:val="28"/>
          <w:szCs w:val="28"/>
          <w:lang w:val="ru-RU"/>
        </w:rPr>
        <w:t>159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Партизанское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реестра (карты) коррупционных рисков, возникающих при осуществлении закупок в администрации муниципального образования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Волочаевское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Смидовичского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  <w:lang w:val="ru-RU"/>
        </w:rPr>
        <w:t>Еврейской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автономной </w:t>
      </w:r>
      <w:r>
        <w:rPr>
          <w:rFonts w:ascii="Times New Roman" w:hAnsi="Times New Roman" w:cs="Times New Roman"/>
          <w:sz w:val="28"/>
          <w:szCs w:val="28"/>
        </w:rPr>
        <w:t xml:space="preserve">области, и плана (реестра) мер, направленных на минимизацию коррупционных рисков, возникающих при осуществлении закупок в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Волочаевского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  <w:lang w:val="ru-RU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Смидовичского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  <w:lang w:val="ru-RU"/>
        </w:rPr>
        <w:t>Еврейской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автономной </w:t>
      </w:r>
      <w:r>
        <w:rPr>
          <w:rFonts w:ascii="Times New Roman" w:hAnsi="Times New Roman" w:cs="Times New Roman"/>
          <w:sz w:val="28"/>
          <w:szCs w:val="28"/>
        </w:rPr>
        <w:t>области</w:t>
      </w:r>
    </w:p>
    <w:p>
      <w:pPr>
        <w:spacing w:before="100" w:beforeAutospacing="1" w:after="100" w:afterAutospacing="1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>
      <w:pPr>
        <w:spacing w:before="100" w:beforeAutospacing="1" w:after="100" w:afterAutospacing="1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цел</w:t>
      </w:r>
      <w:r>
        <w:rPr>
          <w:rFonts w:ascii="Times New Roman" w:hAnsi="Times New Roman" w:cs="Times New Roman"/>
          <w:sz w:val="28"/>
          <w:szCs w:val="28"/>
        </w:rPr>
        <w:t>ью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выявлени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 минимизаци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коррупционных рисков при осуществлении закупок товаров, работ, услуг для обеспечения муниципальных нужд, осуществляемых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соответствии с Федеральным законом от 5 апреля 2013 года № 44-ФЗ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«О контрактной системе в сфере закупок товаров, работ, услуг для обеспечения государственных и муниципальных нужд», руководствуясь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Методическими рекомендациями по проведению в федеральных государственных органах, органах государственной власти субъектов РФ, органах местного самоуправления. государственных внебюджетных фондах и иных организациях, осуществляющих закупки в соответствии с Федеральным законом от 5 апреля 2013 г. № 44-ФЗ и Федеральным законом от 18 июля 2011 г. № 223-ФЗ,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, разработанными Министерством труда и социальной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защиты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>
        <w:rPr>
          <w:rFonts w:hint="default" w:ascii="Times New Roman" w:hAnsi="Times New Roman"/>
          <w:sz w:val="28"/>
          <w:szCs w:val="28"/>
        </w:rPr>
        <w:t>Волочаевского сельского поселения Смидовичского муниципального района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pStyle w:val="13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pStyle w:val="1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Утвердить реестр (карту) коррупционных рисков, возникающих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при осуществлении закупок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hint="default" w:ascii="Times New Roman" w:hAnsi="Times New Roman"/>
          <w:sz w:val="28"/>
          <w:szCs w:val="28"/>
        </w:rPr>
        <w:t>Волочаевского сельского поселения Смидовичского муниципального района Еврейской автономной области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, согласно приложению 1 к настоящему постановлению.</w:t>
      </w:r>
    </w:p>
    <w:p>
      <w:pPr>
        <w:pStyle w:val="1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план (реестр) мер, направленных на минимизацию коррупционных рисков, возникающих при осуществлении закупок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hint="default" w:ascii="Times New Roman" w:hAnsi="Times New Roman"/>
          <w:sz w:val="28"/>
          <w:szCs w:val="28"/>
        </w:rPr>
        <w:t>Волочаевского сельского поселения Смидовичского муниципального района Еврейской автономной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, согласно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приложению 2 к настоящему постановлению.</w:t>
      </w:r>
    </w:p>
    <w:p>
      <w:pPr>
        <w:pStyle w:val="1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постановление в </w:t>
      </w:r>
      <w:r>
        <w:rPr>
          <w:sz w:val="28"/>
          <w:szCs w:val="28"/>
          <w:lang w:val="ru-RU"/>
        </w:rPr>
        <w:t>информационном</w:t>
      </w:r>
      <w:r>
        <w:rPr>
          <w:rFonts w:hint="default"/>
          <w:sz w:val="28"/>
          <w:szCs w:val="28"/>
          <w:lang w:val="ru-RU"/>
        </w:rPr>
        <w:t xml:space="preserve"> бюллетене Волочаевского сельского поселения и </w:t>
      </w:r>
      <w:r>
        <w:rPr>
          <w:sz w:val="28"/>
          <w:szCs w:val="28"/>
        </w:rPr>
        <w:t xml:space="preserve">на официальном сайте муниципального образования: </w:t>
      </w:r>
      <w:r>
        <w:rPr>
          <w:rFonts w:hint="default"/>
          <w:sz w:val="28"/>
          <w:szCs w:val="28"/>
        </w:rPr>
        <w:fldChar w:fldCharType="begin"/>
      </w:r>
      <w:r>
        <w:rPr>
          <w:rFonts w:hint="default"/>
          <w:sz w:val="28"/>
          <w:szCs w:val="28"/>
        </w:rPr>
        <w:instrText xml:space="preserve"> HYPERLINK "https://volocheao.ru/" </w:instrText>
      </w:r>
      <w:r>
        <w:rPr>
          <w:rFonts w:hint="default"/>
          <w:sz w:val="28"/>
          <w:szCs w:val="28"/>
        </w:rPr>
        <w:fldChar w:fldCharType="separate"/>
      </w:r>
      <w:r>
        <w:rPr>
          <w:rStyle w:val="4"/>
          <w:rFonts w:hint="default"/>
          <w:sz w:val="28"/>
          <w:szCs w:val="28"/>
        </w:rPr>
        <w:t>https://volocheao.ru/</w:t>
      </w:r>
      <w:r>
        <w:rPr>
          <w:rFonts w:hint="default"/>
          <w:sz w:val="28"/>
          <w:szCs w:val="28"/>
        </w:rPr>
        <w:fldChar w:fldCharType="end"/>
      </w:r>
      <w:r>
        <w:rPr>
          <w:sz w:val="28"/>
          <w:szCs w:val="28"/>
        </w:rPr>
        <w:t>.</w:t>
      </w:r>
    </w:p>
    <w:p>
      <w:pPr>
        <w:pStyle w:val="13"/>
        <w:ind w:firstLine="708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4.   Контроль за исполнением постановления оставляю за собой.</w:t>
      </w:r>
    </w:p>
    <w:p>
      <w:pPr>
        <w:pStyle w:val="13"/>
        <w:ind w:firstLine="708"/>
        <w:jc w:val="both"/>
        <w:rPr>
          <w:sz w:val="28"/>
          <w:szCs w:val="28"/>
        </w:rPr>
      </w:pPr>
      <w:r>
        <w:rPr>
          <w:rFonts w:hint="default"/>
          <w:sz w:val="28"/>
          <w:szCs w:val="28"/>
        </w:rPr>
        <w:t>5.  Настоящее постановление вступает в силу со дня его подписания.</w:t>
      </w:r>
      <w:r>
        <w:rPr>
          <w:sz w:val="28"/>
          <w:szCs w:val="28"/>
        </w:rPr>
        <w:t xml:space="preserve"> </w:t>
      </w:r>
    </w:p>
    <w:p>
      <w:pPr>
        <w:pStyle w:val="13"/>
        <w:spacing w:line="276" w:lineRule="auto"/>
        <w:rPr>
          <w:sz w:val="28"/>
          <w:szCs w:val="28"/>
        </w:rPr>
      </w:pPr>
    </w:p>
    <w:p>
      <w:pPr>
        <w:pStyle w:val="13"/>
        <w:rPr>
          <w:sz w:val="28"/>
          <w:szCs w:val="28"/>
        </w:rPr>
      </w:pPr>
    </w:p>
    <w:p>
      <w:pPr>
        <w:pStyle w:val="13"/>
        <w:rPr>
          <w:sz w:val="28"/>
          <w:szCs w:val="28"/>
        </w:rPr>
      </w:pPr>
    </w:p>
    <w:p>
      <w:pPr>
        <w:pStyle w:val="13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>
      <w:pPr>
        <w:pStyle w:val="13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</w:t>
      </w:r>
      <w:r>
        <w:rPr>
          <w:rFonts w:hint="default"/>
          <w:sz w:val="28"/>
          <w:szCs w:val="28"/>
          <w:lang w:val="ru-RU"/>
        </w:rPr>
        <w:t xml:space="preserve"> поселения</w:t>
      </w:r>
      <w:r>
        <w:rPr>
          <w:sz w:val="28"/>
          <w:szCs w:val="28"/>
        </w:rPr>
        <w:tab/>
      </w:r>
      <w:r>
        <w:rPr>
          <w:rFonts w:hint="default"/>
          <w:sz w:val="28"/>
          <w:szCs w:val="28"/>
          <w:lang w:val="ru-RU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hint="default"/>
          <w:sz w:val="28"/>
          <w:szCs w:val="28"/>
          <w:lang w:val="ru-RU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hint="default"/>
          <w:sz w:val="28"/>
          <w:szCs w:val="28"/>
          <w:lang w:val="ru-RU"/>
        </w:rPr>
        <w:t xml:space="preserve">             </w:t>
      </w:r>
      <w:r>
        <w:rPr>
          <w:sz w:val="28"/>
          <w:szCs w:val="28"/>
          <w:lang w:val="ru-RU"/>
        </w:rPr>
        <w:t>Л</w:t>
      </w:r>
      <w:r>
        <w:rPr>
          <w:rFonts w:hint="default"/>
          <w:sz w:val="28"/>
          <w:szCs w:val="28"/>
          <w:lang w:val="ru-RU"/>
        </w:rPr>
        <w:t>.В. Марцева</w:t>
      </w:r>
    </w:p>
    <w:p>
      <w:pPr>
        <w:pStyle w:val="13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page"/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  <w:sectPr>
          <w:pgSz w:w="11906" w:h="16838"/>
          <w:pgMar w:top="851" w:right="567" w:bottom="851" w:left="1701" w:header="709" w:footer="709" w:gutter="0"/>
          <w:cols w:space="708" w:num="1"/>
          <w:titlePg/>
          <w:docGrid w:linePitch="360" w:charSpace="0"/>
        </w:sectPr>
      </w:pPr>
    </w:p>
    <w:p>
      <w:pPr>
        <w:spacing w:after="0" w:line="240" w:lineRule="auto"/>
        <w:ind w:left="10773" w:right="-456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10773" w:right="-456" w:firstLine="280" w:firstLineChars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>
      <w:pPr>
        <w:wordWrap w:val="0"/>
        <w:spacing w:after="0" w:line="240" w:lineRule="auto"/>
        <w:ind w:left="10773" w:right="-456"/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администрации</w:t>
      </w:r>
    </w:p>
    <w:p>
      <w:pPr>
        <w:wordWrap w:val="0"/>
        <w:spacing w:after="0" w:line="240" w:lineRule="auto"/>
        <w:ind w:left="10773" w:right="-456" w:firstLine="280" w:firstLineChars="10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сельского поселения</w:t>
      </w:r>
    </w:p>
    <w:p>
      <w:pPr>
        <w:spacing w:after="0" w:line="240" w:lineRule="auto"/>
        <w:ind w:left="9912" w:leftChars="0" w:right="-456" w:firstLine="1178" w:firstLineChars="421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25.12.2023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159</w:t>
      </w:r>
    </w:p>
    <w:p>
      <w:pPr>
        <w:spacing w:after="0" w:line="240" w:lineRule="auto"/>
        <w:ind w:left="10773" w:right="-4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РЕЕСТР (КАРТА)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коррупционных рисков, возникающих при осуществлении закупок в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>
        <w:rPr>
          <w:rFonts w:hint="default" w:ascii="Times New Roman" w:hAnsi="Times New Roman"/>
          <w:b/>
          <w:sz w:val="28"/>
          <w:szCs w:val="28"/>
        </w:rPr>
        <w:t>Волочаевского сельского поселения Смидовичского муниципального района Еврейской автономной области</w:t>
      </w:r>
    </w:p>
    <w:p>
      <w:pPr>
        <w:jc w:val="center"/>
        <w:rPr>
          <w:b/>
        </w:rPr>
      </w:pPr>
    </w:p>
    <w:tbl>
      <w:tblPr>
        <w:tblStyle w:val="7"/>
        <w:tblW w:w="15814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544"/>
        <w:gridCol w:w="2835"/>
        <w:gridCol w:w="2410"/>
        <w:gridCol w:w="3402"/>
        <w:gridCol w:w="3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i/>
                <w:color w:val="000000"/>
                <w:sz w:val="24"/>
                <w:szCs w:val="24"/>
                <w:lang w:bidi="ru-RU"/>
              </w:rPr>
            </w:pPr>
            <w:r>
              <w:rPr>
                <w:rStyle w:val="11"/>
                <w:rFonts w:eastAsia="Arial Unicode MS"/>
                <w:i w:val="0"/>
                <w:sz w:val="24"/>
                <w:szCs w:val="24"/>
              </w:rPr>
              <w:t>№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i/>
                <w:color w:val="000000"/>
                <w:sz w:val="24"/>
                <w:szCs w:val="24"/>
                <w:lang w:bidi="ru-RU"/>
              </w:rPr>
            </w:pPr>
            <w:r>
              <w:rPr>
                <w:rStyle w:val="11"/>
                <w:rFonts w:eastAsia="Arial Unicode MS"/>
                <w:i w:val="0"/>
                <w:sz w:val="24"/>
                <w:szCs w:val="24"/>
              </w:rPr>
              <w:t>п/п</w:t>
            </w:r>
          </w:p>
        </w:tc>
        <w:tc>
          <w:tcPr>
            <w:tcW w:w="35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ind w:right="140"/>
              <w:contextualSpacing/>
              <w:jc w:val="center"/>
              <w:rPr>
                <w:rFonts w:ascii="Times New Roman" w:hAnsi="Times New Roman" w:eastAsia="Arial Unicode MS" w:cs="Times New Roman"/>
                <w:i/>
                <w:color w:val="000000"/>
                <w:sz w:val="24"/>
                <w:szCs w:val="24"/>
                <w:lang w:bidi="ru-RU"/>
              </w:rPr>
            </w:pPr>
            <w:r>
              <w:rPr>
                <w:rStyle w:val="11"/>
                <w:rFonts w:eastAsia="Arial Unicode MS"/>
                <w:i w:val="0"/>
                <w:sz w:val="24"/>
                <w:szCs w:val="24"/>
              </w:rPr>
              <w:t>Краткое наименование коррупционного риска</w:t>
            </w: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ind w:right="-69"/>
              <w:contextualSpacing/>
              <w:jc w:val="center"/>
              <w:rPr>
                <w:rFonts w:ascii="Times New Roman" w:hAnsi="Times New Roman" w:eastAsia="Arial Unicode MS" w:cs="Times New Roman"/>
                <w:i/>
                <w:color w:val="000000"/>
                <w:sz w:val="24"/>
                <w:szCs w:val="24"/>
                <w:lang w:bidi="ru-RU"/>
              </w:rPr>
            </w:pPr>
            <w:r>
              <w:rPr>
                <w:rStyle w:val="11"/>
                <w:rFonts w:eastAsia="Arial Unicode MS"/>
                <w:i w:val="0"/>
                <w:sz w:val="24"/>
                <w:szCs w:val="24"/>
              </w:rPr>
              <w:t>Описание возможной коррупционной схемы</w:t>
            </w:r>
          </w:p>
        </w:tc>
        <w:tc>
          <w:tcPr>
            <w:tcW w:w="2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ind w:right="140"/>
              <w:contextualSpacing/>
              <w:jc w:val="center"/>
              <w:rPr>
                <w:rFonts w:ascii="Times New Roman" w:hAnsi="Times New Roman" w:eastAsia="Arial Unicode MS" w:cs="Times New Roman"/>
                <w:i/>
                <w:color w:val="000000"/>
                <w:sz w:val="24"/>
                <w:szCs w:val="24"/>
                <w:lang w:bidi="ru-RU"/>
              </w:rPr>
            </w:pPr>
            <w:r>
              <w:rPr>
                <w:rStyle w:val="11"/>
                <w:rFonts w:eastAsia="Arial Unicode MS"/>
                <w:i w:val="0"/>
                <w:sz w:val="24"/>
                <w:szCs w:val="24"/>
              </w:rPr>
              <w:t>Наименование должностей служащих (работников), которые могут участвовать в реализации коррупционной схемы</w:t>
            </w:r>
          </w:p>
        </w:tc>
        <w:tc>
          <w:tcPr>
            <w:tcW w:w="6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ind w:right="140"/>
              <w:contextualSpacing/>
              <w:jc w:val="center"/>
              <w:rPr>
                <w:rFonts w:ascii="Times New Roman" w:hAnsi="Times New Roman" w:eastAsia="Arial Unicode MS" w:cs="Times New Roman"/>
                <w:i/>
                <w:color w:val="000000"/>
                <w:sz w:val="24"/>
                <w:szCs w:val="24"/>
                <w:lang w:bidi="ru-RU"/>
              </w:rPr>
            </w:pPr>
            <w:r>
              <w:rPr>
                <w:rStyle w:val="11"/>
                <w:rFonts w:eastAsia="Arial Unicode MS"/>
                <w:i w:val="0"/>
                <w:sz w:val="24"/>
                <w:szCs w:val="24"/>
              </w:rPr>
              <w:t>Меры по минимизации коррупционных рисков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120" w:after="120" w:line="240" w:lineRule="auto"/>
              <w:ind w:right="140"/>
              <w:contextualSpacing/>
              <w:jc w:val="center"/>
              <w:rPr>
                <w:rStyle w:val="11"/>
                <w:rFonts w:eastAsia="Arial Unicode MS"/>
                <w:i w:val="0"/>
                <w:sz w:val="24"/>
                <w:szCs w:val="24"/>
              </w:rPr>
            </w:pPr>
            <w:r>
              <w:rPr>
                <w:rStyle w:val="11"/>
                <w:rFonts w:eastAsia="Arial Unicode MS"/>
                <w:i w:val="0"/>
                <w:sz w:val="24"/>
                <w:szCs w:val="24"/>
              </w:rPr>
              <w:t>Реализуемые</w:t>
            </w:r>
          </w:p>
        </w:tc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120" w:after="120" w:line="240" w:lineRule="auto"/>
              <w:ind w:left="160"/>
              <w:contextualSpacing/>
              <w:jc w:val="center"/>
              <w:rPr>
                <w:rStyle w:val="11"/>
                <w:rFonts w:eastAsia="Arial Unicode MS"/>
                <w:i w:val="0"/>
                <w:sz w:val="24"/>
                <w:szCs w:val="24"/>
              </w:rPr>
            </w:pPr>
            <w:r>
              <w:rPr>
                <w:rStyle w:val="11"/>
                <w:rFonts w:eastAsia="Arial Unicode MS"/>
                <w:i w:val="0"/>
                <w:sz w:val="24"/>
                <w:szCs w:val="24"/>
              </w:rPr>
              <w:t>Предлагаемые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7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120" w:after="120" w:line="240" w:lineRule="auto"/>
              <w:ind w:right="142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bidi="ru-RU"/>
              </w:rPr>
              <w:t>1.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120" w:after="120" w:line="240" w:lineRule="auto"/>
              <w:ind w:right="142"/>
              <w:contextualSpacing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bidi="ru-RU"/>
              </w:rPr>
              <w:t>Обоснование начальных (максимальных) цен контрактов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120" w:after="120" w:line="240" w:lineRule="auto"/>
              <w:ind w:right="142"/>
              <w:contextualSpacing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обоснования начальной (максимальной) цены контракта необоснованно завышена (занижена) начальная (максимальная) цена контракта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120" w:after="120" w:line="240" w:lineRule="auto"/>
              <w:ind w:right="142"/>
              <w:contextualSpacing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Специалисты, ответственные за осуществление закупок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Обязательное обоснование начальных (максимальных) цен контрактов, включая обоснование при закупке с единственным поставщиком (подрядчиком, исполнителем)</w:t>
            </w:r>
          </w:p>
        </w:tc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240" w:lineRule="auto"/>
              <w:ind w:right="142"/>
              <w:contextualSpacing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bidi="ru-RU"/>
              </w:rPr>
              <w:t xml:space="preserve">Проведение мониторинга цен на товары, работы и услуги в целях недопущения завышения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начальных (максимальных) цен контрактов при осуществлении закупки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9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120" w:after="120" w:line="240" w:lineRule="auto"/>
              <w:ind w:right="142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bidi="ru-RU"/>
              </w:rPr>
              <w:t>2.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120" w:after="120" w:line="240" w:lineRule="auto"/>
              <w:ind w:right="142"/>
              <w:contextualSpacing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Выбор способа размещения заказа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120" w:after="120" w:line="240" w:lineRule="auto"/>
              <w:ind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Искусственное дробление закупки на несколько отдельных с целью упрощения способа закупки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120" w:after="120" w:line="240" w:lineRule="auto"/>
              <w:ind w:right="142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Специалисты, ответственные за осуществление закупок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Недопустимость необоснованного дробления закупок, влекущего за собой уход от конкурентных процедур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240" w:lineRule="auto"/>
              <w:ind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Проведение мониторинга на предмет выявления неоднократных закупок однородных товаров, работ, услуг</w:t>
            </w:r>
          </w:p>
          <w:p>
            <w:pPr>
              <w:spacing w:before="120" w:after="120" w:line="240" w:lineRule="auto"/>
              <w:ind w:right="142"/>
              <w:contextualSpacing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120" w:after="120" w:line="240" w:lineRule="auto"/>
              <w:ind w:right="142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bidi="ru-RU"/>
              </w:rPr>
              <w:t>3.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120" w:after="120" w:line="240" w:lineRule="auto"/>
              <w:ind w:right="142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Подготовка документации на осуществление закупки товаров, работ, услуг 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120" w:after="120" w:line="240" w:lineRule="auto"/>
              <w:ind w:right="142"/>
              <w:contextualSpacing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Установление необоснованных преимуществ для отдельных лиц при осуществлении закупок товаров, работ, услуг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120" w:after="120" w:line="240" w:lineRule="auto"/>
              <w:ind w:right="142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Специалисты, ответственные за осуществление закупок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Установление единых требований к участникам закупки, соблюдение правил описания закупки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Запрет на умышленное, неправомерное включение в документацию о закупках условий, ограничивающих конкуренцию</w:t>
            </w:r>
          </w:p>
          <w:p>
            <w:pPr>
              <w:spacing w:before="120" w:after="120" w:line="240" w:lineRule="auto"/>
              <w:ind w:right="142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120" w:after="120" w:line="240" w:lineRule="auto"/>
              <w:ind w:right="142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bidi="ru-RU"/>
              </w:rPr>
              <w:t>4.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120" w:after="120" w:line="240" w:lineRule="auto"/>
              <w:ind w:right="142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Принятие исполнения подрядчиком (исполнителем, поставщиком) обязательств по  контракту (этапу контракта) не соответствующих требованиям контракта и оплата результатов фактически не выполненных работ (не поставленных товаров, не оказанных услуг)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120" w:after="120" w:line="240" w:lineRule="auto"/>
              <w:ind w:right="142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Искажение, сокрытие или предоставление заведомо ложных сведений в отчетных или финансовых документах, нецелевое использование бюджетных средств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120" w:after="120" w:line="240" w:lineRule="auto"/>
              <w:ind w:right="142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Специалисты, ответственные за приемку и оплату результатов выполненных работ (поставленных товаров, оказанных услуг)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Недопустимость принятия исполнения подрядчиком (исполнителем, поставщиком) обязательств по контракту (этапу контракта) не соответствующих требованиям контракта и оплаты фактически не поставленных товаров, не выполненных работ (услуг), контроль за правильностью оформления отчетных и финансовых документов,  размещение документов о приемке и отчета об исполнении муниципального контракта в открытом доступе  ЕИС</w:t>
            </w:r>
          </w:p>
        </w:tc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Запрет на умышленную, неправомерную приемку и оплату результатов фактически не выполненных работ (услуг) и не поставленных товаров</w:t>
            </w:r>
          </w:p>
        </w:tc>
      </w:tr>
    </w:tbl>
    <w:p>
      <w:pPr>
        <w:spacing w:after="0"/>
        <w:jc w:val="center"/>
        <w:rPr>
          <w:b/>
        </w:rPr>
      </w:pPr>
    </w:p>
    <w:p>
      <w:pPr>
        <w:spacing w:after="0"/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6"/>
        <w:gridCol w:w="44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8"/>
                <w:szCs w:val="28"/>
                <w:vertAlign w:val="baseline"/>
              </w:rPr>
            </w:pPr>
          </w:p>
        </w:tc>
        <w:tc>
          <w:tcPr>
            <w:tcW w:w="446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2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/>
                <w:sz w:val="28"/>
                <w:szCs w:val="28"/>
              </w:rPr>
            </w:pPr>
            <w:r>
              <w:rPr>
                <w:rFonts w:hint="default"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/>
                <w:sz w:val="28"/>
                <w:szCs w:val="28"/>
              </w:rPr>
            </w:pPr>
            <w:r>
              <w:rPr>
                <w:rFonts w:hint="default" w:ascii="Times New Roman" w:hAnsi="Times New Roman"/>
                <w:sz w:val="28"/>
                <w:szCs w:val="28"/>
              </w:rPr>
              <w:t>сельского поселения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25.12.2023</w:t>
            </w:r>
            <w:r>
              <w:rPr>
                <w:rFonts w:hint="default"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159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8"/>
                <w:szCs w:val="28"/>
                <w:vertAlign w:val="baseline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(РЕЕСТР)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мер, направленных на минимизацию коррупционных рисков, возникающих </w:t>
      </w:r>
      <w:r>
        <w:rPr>
          <w:rFonts w:ascii="Times New Roman" w:hAnsi="Times New Roman" w:cs="Times New Roman"/>
          <w:b/>
          <w:bCs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 осуществлении закупок в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>
        <w:rPr>
          <w:rFonts w:hint="default" w:ascii="Times New Roman" w:hAnsi="Times New Roman"/>
          <w:b/>
          <w:sz w:val="28"/>
          <w:szCs w:val="28"/>
        </w:rPr>
        <w:t>Волочаевского сельского поселения Смидовичского муниципального района Еврейской автономной области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7"/>
        <w:tblW w:w="152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4390"/>
        <w:gridCol w:w="3118"/>
        <w:gridCol w:w="1984"/>
        <w:gridCol w:w="2835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680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i/>
                <w:sz w:val="24"/>
                <w:szCs w:val="24"/>
              </w:rPr>
            </w:pPr>
            <w:r>
              <w:rPr>
                <w:rStyle w:val="11"/>
                <w:rFonts w:eastAsia="Arial Unicode MS"/>
                <w:i w:val="0"/>
                <w:sz w:val="24"/>
                <w:szCs w:val="24"/>
              </w:rPr>
              <w:t>№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11"/>
                <w:rFonts w:eastAsia="Arial Unicode MS"/>
                <w:i w:val="0"/>
                <w:sz w:val="24"/>
                <w:szCs w:val="24"/>
              </w:rPr>
              <w:t>п/п</w:t>
            </w:r>
          </w:p>
        </w:tc>
        <w:tc>
          <w:tcPr>
            <w:tcW w:w="4390" w:type="dxa"/>
            <w:vAlign w:val="center"/>
          </w:tcPr>
          <w:p>
            <w:pPr>
              <w:spacing w:after="0" w:line="240" w:lineRule="auto"/>
              <w:ind w:left="-113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11"/>
                <w:rFonts w:eastAsia="Arial Unicode MS"/>
                <w:i w:val="0"/>
                <w:sz w:val="24"/>
                <w:szCs w:val="24"/>
              </w:rPr>
              <w:t xml:space="preserve">Наименование меры </w:t>
            </w:r>
            <w:r>
              <w:rPr>
                <w:rStyle w:val="11"/>
                <w:rFonts w:eastAsia="Arial Unicode MS"/>
                <w:i w:val="0"/>
                <w:sz w:val="24"/>
                <w:szCs w:val="24"/>
              </w:rPr>
              <w:br w:type="textWrapping"/>
            </w:r>
            <w:r>
              <w:rPr>
                <w:rStyle w:val="11"/>
                <w:rFonts w:eastAsia="Arial Unicode MS"/>
                <w:i w:val="0"/>
                <w:sz w:val="24"/>
                <w:szCs w:val="24"/>
              </w:rPr>
              <w:t>по минимизации коррупционных рисков</w:t>
            </w:r>
          </w:p>
        </w:tc>
        <w:tc>
          <w:tcPr>
            <w:tcW w:w="3118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11"/>
                <w:rFonts w:eastAsia="Arial Unicode MS"/>
                <w:i w:val="0"/>
                <w:sz w:val="24"/>
                <w:szCs w:val="24"/>
              </w:rPr>
              <w:t>Краткое наименование минимизируемого коррупционного риска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11"/>
                <w:rFonts w:eastAsia="Arial Unicode MS"/>
                <w:i w:val="0"/>
                <w:sz w:val="24"/>
                <w:szCs w:val="24"/>
              </w:rPr>
              <w:t>Срок (периодичность) реализации</w:t>
            </w:r>
          </w:p>
        </w:tc>
        <w:tc>
          <w:tcPr>
            <w:tcW w:w="2835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11"/>
                <w:rFonts w:eastAsia="Arial Unicode MS"/>
                <w:i w:val="0"/>
                <w:sz w:val="24"/>
                <w:szCs w:val="24"/>
              </w:rPr>
              <w:t>Ответственный за реализацию служащий (работник)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34"/>
              <w:contextualSpacing/>
              <w:jc w:val="center"/>
              <w:rPr>
                <w:i/>
                <w:sz w:val="24"/>
                <w:szCs w:val="24"/>
              </w:rPr>
            </w:pPr>
            <w:r>
              <w:rPr>
                <w:rStyle w:val="11"/>
                <w:rFonts w:eastAsia="Arial Unicode MS"/>
                <w:i w:val="0"/>
                <w:sz w:val="24"/>
                <w:szCs w:val="24"/>
              </w:rPr>
              <w:t>Планируемый</w:t>
            </w:r>
          </w:p>
          <w:p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11"/>
                <w:rFonts w:eastAsia="Arial Unicode MS"/>
                <w:i w:val="0"/>
                <w:sz w:val="24"/>
                <w:szCs w:val="24"/>
              </w:rPr>
              <w:t>результат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680" w:type="dxa"/>
            <w:vAlign w:val="center"/>
          </w:tcPr>
          <w:p>
            <w:pPr>
              <w:spacing w:before="120" w:after="120" w:line="240" w:lineRule="auto"/>
              <w:ind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0" w:type="dxa"/>
            <w:vAlign w:val="center"/>
          </w:tcPr>
          <w:p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bidi="ru-RU"/>
              </w:rPr>
              <w:t xml:space="preserve">Проведение мониторинга цен на товары, работы и услуги в целях недопущения завышения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начальных (максимальных) цен контрактов при осуществлении закупки</w:t>
            </w:r>
          </w:p>
        </w:tc>
        <w:tc>
          <w:tcPr>
            <w:tcW w:w="3118" w:type="dxa"/>
            <w:vAlign w:val="center"/>
          </w:tcPr>
          <w:p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bidi="ru-RU"/>
              </w:rPr>
              <w:t>Обоснование начальных (максимальных) цен контрактов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bidi="ru-RU"/>
              </w:rPr>
              <w:t>постоянно</w:t>
            </w:r>
          </w:p>
        </w:tc>
        <w:tc>
          <w:tcPr>
            <w:tcW w:w="2835" w:type="dxa"/>
            <w:vAlign w:val="center"/>
          </w:tcPr>
          <w:p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Специалисты, ответственные за осуществление закупок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Минимизация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680" w:type="dxa"/>
            <w:vAlign w:val="center"/>
          </w:tcPr>
          <w:p>
            <w:pPr>
              <w:spacing w:before="120" w:after="120" w:line="240" w:lineRule="auto"/>
              <w:ind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Недопустимость необоснованного дробления закупок, влекущего за собой уход от конкурентных процедур</w:t>
            </w:r>
          </w:p>
        </w:tc>
        <w:tc>
          <w:tcPr>
            <w:tcW w:w="3118" w:type="dxa"/>
            <w:vAlign w:val="center"/>
          </w:tcPr>
          <w:p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Выбор способа размещения заказа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bidi="ru-RU"/>
              </w:rPr>
              <w:t>постоянно</w:t>
            </w:r>
          </w:p>
        </w:tc>
        <w:tc>
          <w:tcPr>
            <w:tcW w:w="2835" w:type="dxa"/>
            <w:vAlign w:val="center"/>
          </w:tcPr>
          <w:p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Специалисты, ответственные за осуществление закупок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Минимизация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680" w:type="dxa"/>
            <w:vAlign w:val="center"/>
          </w:tcPr>
          <w:p>
            <w:pPr>
              <w:spacing w:before="120" w:after="120" w:line="240" w:lineRule="auto"/>
              <w:ind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Установление единых требований к участникам закупки</w:t>
            </w:r>
          </w:p>
        </w:tc>
        <w:tc>
          <w:tcPr>
            <w:tcW w:w="3118" w:type="dxa"/>
            <w:vAlign w:val="center"/>
          </w:tcPr>
          <w:p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Подготовка документации на осуществление закупки товаров, работ, услуг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bidi="ru-RU"/>
              </w:rPr>
              <w:t>постоянно</w:t>
            </w:r>
          </w:p>
        </w:tc>
        <w:tc>
          <w:tcPr>
            <w:tcW w:w="2835" w:type="dxa"/>
            <w:vAlign w:val="center"/>
          </w:tcPr>
          <w:p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Специалисты, ответственные за осуществление закупок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Минимизация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2" w:hRule="atLeast"/>
        </w:trPr>
        <w:tc>
          <w:tcPr>
            <w:tcW w:w="680" w:type="dxa"/>
            <w:vAlign w:val="center"/>
          </w:tcPr>
          <w:p>
            <w:pPr>
              <w:spacing w:before="120" w:after="120" w:line="240" w:lineRule="auto"/>
              <w:ind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Соблюдение правил описания закупки, закрепленных в Федеральном законе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 5 апреля 2013 года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№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3118" w:type="dxa"/>
            <w:vAlign w:val="center"/>
          </w:tcPr>
          <w:p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Подготовка документации на осуществление закупки товаров, работ, услуг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bidi="ru-RU"/>
              </w:rPr>
              <w:t>постоянно</w:t>
            </w:r>
          </w:p>
        </w:tc>
        <w:tc>
          <w:tcPr>
            <w:tcW w:w="2835" w:type="dxa"/>
            <w:vAlign w:val="center"/>
          </w:tcPr>
          <w:p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Специалисты, ответственные за осуществление закупок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Минимизация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680" w:type="dxa"/>
            <w:vAlign w:val="center"/>
          </w:tcPr>
          <w:p>
            <w:pPr>
              <w:spacing w:before="120" w:after="120" w:line="240" w:lineRule="auto"/>
              <w:ind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Недопустимость принятия исполнения подрядчиком (исполнителем, поставщиком) обязательств по контракту (этапу контракта) не соответствующих требованиям контракта и оплаты фактически не поставленных товаров, не выполненных работ (услуг), контроль за правильностью оформления отчетных и финансовых документов, размещение документов о приемке и отчета об исполнении муниципального контракта в открытом доступе  ЕИС</w:t>
            </w:r>
          </w:p>
        </w:tc>
        <w:tc>
          <w:tcPr>
            <w:tcW w:w="3118" w:type="dxa"/>
            <w:vAlign w:val="center"/>
          </w:tcPr>
          <w:p>
            <w:pPr>
              <w:widowControl w:val="0"/>
              <w:spacing w:before="120" w:after="120" w:line="240" w:lineRule="auto"/>
              <w:ind w:right="142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Принятие исполнения подрядчиком (исполнителем, поставщиком) обязательств по  контракту (этапу контракта) не соответствующих требованиям контракта и оплата результатов фактически не выполненных работ (не поставленных товаров, не оказанных услуг)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bidi="ru-RU"/>
              </w:rPr>
              <w:t>постоянно</w:t>
            </w:r>
          </w:p>
        </w:tc>
        <w:tc>
          <w:tcPr>
            <w:tcW w:w="2835" w:type="dxa"/>
            <w:vAlign w:val="center"/>
          </w:tcPr>
          <w:p>
            <w:pPr>
              <w:widowControl w:val="0"/>
              <w:spacing w:before="120" w:after="120" w:line="240" w:lineRule="auto"/>
              <w:ind w:right="142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Специалисты, ответственные за приемку и оплату результатов выполненных работ (поставленных товаров, оказанных услуг)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Минимизация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>
      <w:pPr>
        <w:spacing w:after="0" w:line="240" w:lineRule="auto"/>
        <w:rPr>
          <w:b/>
        </w:rPr>
      </w:pPr>
    </w:p>
    <w:sectPr>
      <w:pgSz w:w="16838" w:h="11906" w:orient="landscape"/>
      <w:pgMar w:top="1134" w:right="1134" w:bottom="567" w:left="1134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767D0A"/>
    <w:multiLevelType w:val="multilevel"/>
    <w:tmpl w:val="2B767D0A"/>
    <w:lvl w:ilvl="0" w:tentative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17"/>
    <w:rsid w:val="0001724A"/>
    <w:rsid w:val="00021782"/>
    <w:rsid w:val="00024187"/>
    <w:rsid w:val="00034C17"/>
    <w:rsid w:val="0005661F"/>
    <w:rsid w:val="000629ED"/>
    <w:rsid w:val="00086075"/>
    <w:rsid w:val="00096404"/>
    <w:rsid w:val="000D6DBA"/>
    <w:rsid w:val="00101A1F"/>
    <w:rsid w:val="00111D69"/>
    <w:rsid w:val="00112834"/>
    <w:rsid w:val="001357FE"/>
    <w:rsid w:val="00167FDC"/>
    <w:rsid w:val="001E1D64"/>
    <w:rsid w:val="00222154"/>
    <w:rsid w:val="00265296"/>
    <w:rsid w:val="002A41FD"/>
    <w:rsid w:val="002C6426"/>
    <w:rsid w:val="0030690D"/>
    <w:rsid w:val="00325B1F"/>
    <w:rsid w:val="00343D55"/>
    <w:rsid w:val="00373FD2"/>
    <w:rsid w:val="0038046D"/>
    <w:rsid w:val="00381198"/>
    <w:rsid w:val="003A3FBD"/>
    <w:rsid w:val="003B08FF"/>
    <w:rsid w:val="003C012B"/>
    <w:rsid w:val="003D3EB3"/>
    <w:rsid w:val="00405277"/>
    <w:rsid w:val="00414D98"/>
    <w:rsid w:val="00430380"/>
    <w:rsid w:val="004324D2"/>
    <w:rsid w:val="00476011"/>
    <w:rsid w:val="00493085"/>
    <w:rsid w:val="00494B39"/>
    <w:rsid w:val="004C53D9"/>
    <w:rsid w:val="005242A8"/>
    <w:rsid w:val="00530D71"/>
    <w:rsid w:val="00581747"/>
    <w:rsid w:val="00595641"/>
    <w:rsid w:val="00630F48"/>
    <w:rsid w:val="0066189C"/>
    <w:rsid w:val="00676A4F"/>
    <w:rsid w:val="00696CB5"/>
    <w:rsid w:val="006B28C3"/>
    <w:rsid w:val="006B3E00"/>
    <w:rsid w:val="006B5C64"/>
    <w:rsid w:val="006C48FB"/>
    <w:rsid w:val="006E445B"/>
    <w:rsid w:val="006F03BE"/>
    <w:rsid w:val="00706F08"/>
    <w:rsid w:val="0072467C"/>
    <w:rsid w:val="007913BA"/>
    <w:rsid w:val="00797BF6"/>
    <w:rsid w:val="007A1A77"/>
    <w:rsid w:val="007B2757"/>
    <w:rsid w:val="007D405A"/>
    <w:rsid w:val="00830D73"/>
    <w:rsid w:val="00841716"/>
    <w:rsid w:val="008474AE"/>
    <w:rsid w:val="00896C0B"/>
    <w:rsid w:val="008C0689"/>
    <w:rsid w:val="008F44D6"/>
    <w:rsid w:val="009102DA"/>
    <w:rsid w:val="0093101B"/>
    <w:rsid w:val="009423D2"/>
    <w:rsid w:val="0095549A"/>
    <w:rsid w:val="009854CD"/>
    <w:rsid w:val="009A7471"/>
    <w:rsid w:val="009D554C"/>
    <w:rsid w:val="00A17564"/>
    <w:rsid w:val="00A21A43"/>
    <w:rsid w:val="00A267B4"/>
    <w:rsid w:val="00A30BDD"/>
    <w:rsid w:val="00A642F3"/>
    <w:rsid w:val="00A678F5"/>
    <w:rsid w:val="00B01A1F"/>
    <w:rsid w:val="00B60388"/>
    <w:rsid w:val="00BB1D8C"/>
    <w:rsid w:val="00BB43CF"/>
    <w:rsid w:val="00BB5B42"/>
    <w:rsid w:val="00C13C08"/>
    <w:rsid w:val="00C16513"/>
    <w:rsid w:val="00C368C3"/>
    <w:rsid w:val="00C40713"/>
    <w:rsid w:val="00C55C58"/>
    <w:rsid w:val="00C76551"/>
    <w:rsid w:val="00C82576"/>
    <w:rsid w:val="00C91B24"/>
    <w:rsid w:val="00CA34B2"/>
    <w:rsid w:val="00CB148F"/>
    <w:rsid w:val="00CC6D90"/>
    <w:rsid w:val="00CD1E36"/>
    <w:rsid w:val="00CD2B17"/>
    <w:rsid w:val="00D62392"/>
    <w:rsid w:val="00D73648"/>
    <w:rsid w:val="00D86E8D"/>
    <w:rsid w:val="00D90FAE"/>
    <w:rsid w:val="00DD46C5"/>
    <w:rsid w:val="00E302A0"/>
    <w:rsid w:val="00E45756"/>
    <w:rsid w:val="00E6777C"/>
    <w:rsid w:val="00E9714A"/>
    <w:rsid w:val="00EA2B7A"/>
    <w:rsid w:val="00ED0289"/>
    <w:rsid w:val="00EF0C18"/>
    <w:rsid w:val="00EF20A3"/>
    <w:rsid w:val="00F94E3D"/>
    <w:rsid w:val="00FC1DD2"/>
    <w:rsid w:val="00FF3EEF"/>
    <w:rsid w:val="13F81373"/>
    <w:rsid w:val="3E120C48"/>
    <w:rsid w:val="5387668A"/>
    <w:rsid w:val="6897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semiHidden/>
    <w:unhideWhenUsed/>
    <w:qFormat/>
    <w:uiPriority w:val="0"/>
    <w:rPr>
      <w:rFonts w:hint="default" w:ascii="Times New Roman" w:hAnsi="Times New Roman" w:cs="Times New Roman"/>
      <w:color w:val="0000FF"/>
      <w:u w:val="single"/>
    </w:rPr>
  </w:style>
  <w:style w:type="paragraph" w:styleId="5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Title"/>
    <w:basedOn w:val="1"/>
    <w:link w:val="12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table" w:styleId="7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Без интервала1"/>
    <w:qFormat/>
    <w:uiPriority w:val="0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">
    <w:name w:val="Текст выноски Знак"/>
    <w:basedOn w:val="2"/>
    <w:link w:val="5"/>
    <w:semiHidden/>
    <w:uiPriority w:val="99"/>
    <w:rPr>
      <w:rFonts w:ascii="Tahoma" w:hAnsi="Tahoma" w:cs="Tahoma"/>
      <w:sz w:val="16"/>
      <w:szCs w:val="16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Основной текст (2) + Курсив"/>
    <w:basedOn w:val="2"/>
    <w:qFormat/>
    <w:uiPriority w:val="0"/>
    <w:rPr>
      <w:rFonts w:hint="default" w:ascii="Times New Roman" w:hAnsi="Times New Roman" w:eastAsia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Название Знак"/>
    <w:basedOn w:val="2"/>
    <w:link w:val="6"/>
    <w:qFormat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13">
    <w:name w:val="No Spacing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1209</Words>
  <Characters>6894</Characters>
  <Lines>57</Lines>
  <Paragraphs>16</Paragraphs>
  <TotalTime>7</TotalTime>
  <ScaleCrop>false</ScaleCrop>
  <LinksUpToDate>false</LinksUpToDate>
  <CharactersWithSpaces>8087</CharactersWithSpaces>
  <Application>WPS Office_12.2.0.13412_F1E327BC-269C-435d-A152-05C5408002CA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2020-11-19T11:22:00Z</dcterms:created>
  <dc:creator>Анна Анатольевна Смирнова</dc:creator>
  <cp:lastModifiedBy>admin</cp:lastModifiedBy>
  <cp:lastPrinted>2024-01-15T00:17:54Z</cp:lastPrinted>
  <dcterms:modified xsi:type="dcterms:W3CDTF">2024-01-15T00:18:23Z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1049-12.2.0.13412</vt:lpwstr>
  </property>
  <property fmtid="{D5CDD505-2E9C-101B-9397-08002B2CF9AE}" pid="3" name="ICV">
    <vt:lpwstr>0BF430CE94814149A787762FFF692D0B_13</vt:lpwstr>
  </property>
</Properties>
</file>