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Смидовичского муниципального района          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25.10.2023                                                                                                            № 129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с. Партизанское</w:t>
      </w:r>
    </w:p>
    <w:p>
      <w:pPr>
        <w:jc w:val="center"/>
        <w:rPr>
          <w:sz w:val="28"/>
          <w:szCs w:val="28"/>
        </w:rPr>
      </w:pPr>
    </w:p>
    <w:p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Об утверждении муниципальной целевой программы «Энергосбережение и повышение энергетической эффективности в муниципальном образовании «Волочаевское сельское поселение» Смидовичского муниципального района Еврейской автономной области на 2024 год и на плановый период 2025</w:t>
      </w:r>
      <w:r>
        <w:rPr>
          <w:rFonts w:hint="default" w:ascii="Times New Roman" w:hAnsi="Times New Roman" w:cs="Times New Roman"/>
          <w:b w:val="0"/>
          <w:i w:val="0"/>
          <w:lang w:val="ru-RU"/>
        </w:rPr>
        <w:t xml:space="preserve"> </w:t>
      </w:r>
      <w:bookmarkStart w:id="12" w:name="_GoBack"/>
      <w:bookmarkEnd w:id="12"/>
      <w:r>
        <w:rPr>
          <w:rFonts w:ascii="Times New Roman" w:hAnsi="Times New Roman" w:cs="Times New Roman"/>
          <w:b w:val="0"/>
          <w:i w:val="0"/>
        </w:rPr>
        <w:t>и 2026  годов</w:t>
      </w:r>
    </w:p>
    <w:p>
      <w:pPr>
        <w:pStyle w:val="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законами Российской Федерации от 06.10.2003                                   № 131-ФЗ "Об общих принципах организации местного самоуправления в Российской Федерации",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Федерации, Уставом муниципального образования «Волочаевское сельское поселение» администрация сельского поселения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целевую программу «Энергосбережение и повышение энергетической эффективности в муниципальном образовании «Волочаевское сельское поселение» Смидовичского муниципального района Еврейской автономной области</w:t>
      </w:r>
      <w:r>
        <w:rPr>
          <w:b/>
          <w:i/>
        </w:rPr>
        <w:t xml:space="preserve"> </w:t>
      </w:r>
      <w:r>
        <w:rPr>
          <w:sz w:val="28"/>
          <w:szCs w:val="28"/>
        </w:rPr>
        <w:t>на 2024 год и на плановый период 2025 и 2026 годов.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настоящего постановления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Опубликовать настоящее постановление в Информационном бюллетене «Волочаевское сельское поселение».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вступает в силу после дня его официального опубликования.</w:t>
      </w:r>
    </w:p>
    <w:p>
      <w:pPr>
        <w:pStyle w:val="7"/>
        <w:tabs>
          <w:tab w:val="left" w:pos="7380"/>
        </w:tabs>
      </w:pPr>
    </w:p>
    <w:p/>
    <w:p>
      <w:pPr>
        <w:pStyle w:val="7"/>
        <w:tabs>
          <w:tab w:val="left" w:pos="7380"/>
        </w:tabs>
      </w:pPr>
      <w:r>
        <w:t>Глава  администрации</w:t>
      </w:r>
    </w:p>
    <w:p>
      <w:pPr>
        <w:pStyle w:val="7"/>
        <w:tabs>
          <w:tab w:val="left" w:pos="7380"/>
        </w:tabs>
      </w:pPr>
      <w:r>
        <w:t>сельского поселения                                                                         Л.В. Марцева</w:t>
      </w:r>
    </w:p>
    <w:p>
      <w:pPr>
        <w:tabs>
          <w:tab w:val="left" w:pos="5529"/>
        </w:tabs>
        <w:rPr>
          <w:sz w:val="28"/>
          <w:szCs w:val="28"/>
        </w:rPr>
      </w:pPr>
    </w:p>
    <w:p>
      <w:pPr>
        <w:tabs>
          <w:tab w:val="left" w:pos="5529"/>
        </w:tabs>
        <w:rPr>
          <w:sz w:val="28"/>
          <w:szCs w:val="28"/>
        </w:rPr>
      </w:pPr>
    </w:p>
    <w:p>
      <w:pPr>
        <w:tabs>
          <w:tab w:val="left" w:pos="5529"/>
        </w:tabs>
        <w:rPr>
          <w:sz w:val="28"/>
          <w:szCs w:val="28"/>
        </w:rPr>
      </w:pPr>
    </w:p>
    <w:p>
      <w:pPr>
        <w:tabs>
          <w:tab w:val="left" w:pos="5529"/>
        </w:tabs>
        <w:rPr>
          <w:sz w:val="28"/>
          <w:szCs w:val="28"/>
        </w:rPr>
      </w:pPr>
    </w:p>
    <w:p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>
      <w:pPr>
        <w:tabs>
          <w:tab w:val="left" w:pos="5529"/>
        </w:tabs>
        <w:rPr>
          <w:sz w:val="28"/>
          <w:szCs w:val="28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УТВЕРЖДЕНА</w:t>
      </w:r>
    </w:p>
    <w:p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постановлением администрации</w:t>
      </w:r>
    </w:p>
    <w:p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сельского поселения           </w:t>
      </w:r>
    </w:p>
    <w:p>
      <w:pPr>
        <w:tabs>
          <w:tab w:val="left" w:pos="576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от 25.10.2023 № 129   </w:t>
      </w:r>
    </w:p>
    <w:p>
      <w:pPr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МУНИЦИПАЛЬНАЯ ЦЕЛЕВАЯ ПРОГРАММА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 xml:space="preserve">«ЭНЕРГОСБЕРЕЖЕНИЕ И ПОВЫШЕНИЕ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 xml:space="preserve">ЭНЕРГЕТИЧЕСКОЙ ЭФФЕКТИВНОСТИ </w:t>
      </w:r>
    </w:p>
    <w:p>
      <w:pPr>
        <w:jc w:val="center"/>
        <w:rPr>
          <w:b/>
          <w:caps/>
          <w:sz w:val="32"/>
          <w:szCs w:val="32"/>
        </w:rPr>
      </w:pPr>
      <w:r>
        <w:rPr>
          <w:b/>
          <w:sz w:val="32"/>
        </w:rPr>
        <w:t xml:space="preserve">В  </w:t>
      </w:r>
      <w:r>
        <w:rPr>
          <w:b/>
          <w:caps/>
          <w:sz w:val="32"/>
          <w:szCs w:val="32"/>
        </w:rPr>
        <w:t xml:space="preserve">муниципальном образовании </w:t>
      </w:r>
    </w:p>
    <w:p>
      <w:pPr>
        <w:jc w:val="center"/>
        <w:rPr>
          <w:b/>
          <w:sz w:val="32"/>
        </w:rPr>
      </w:pPr>
      <w:r>
        <w:rPr>
          <w:b/>
          <w:caps/>
          <w:sz w:val="32"/>
          <w:szCs w:val="32"/>
        </w:rPr>
        <w:t>«Волочаевское СЕЛЬСКОЕ поселение»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НА 2024 ГОД И НА ПЛАНОВЫЙ ПЕРИОД 2025</w:t>
      </w:r>
      <w:r>
        <w:rPr>
          <w:rFonts w:hint="default"/>
          <w:b/>
          <w:sz w:val="32"/>
          <w:lang w:val="ru-RU"/>
        </w:rPr>
        <w:t xml:space="preserve"> </w:t>
      </w:r>
      <w:r>
        <w:rPr>
          <w:b/>
          <w:sz w:val="32"/>
        </w:rPr>
        <w:t>и 2026  ГОДОВ»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2023 год</w:t>
      </w:r>
    </w:p>
    <w:p>
      <w:pPr>
        <w:pStyle w:val="3"/>
        <w:jc w:val="center"/>
        <w:rPr>
          <w:rFonts w:ascii="Times New Roman" w:hAnsi="Times New Roman" w:cs="Times New Roman"/>
          <w:i w:val="0"/>
        </w:rPr>
      </w:pPr>
      <w:r>
        <w:br w:type="page"/>
      </w:r>
      <w:bookmarkStart w:id="0" w:name="_Toc278985087"/>
      <w:r>
        <w:rPr>
          <w:rFonts w:ascii="Times New Roman" w:hAnsi="Times New Roman" w:cs="Times New Roman"/>
          <w:i w:val="0"/>
        </w:rPr>
        <w:t>СОДЕРЖАНИЕ</w:t>
      </w:r>
      <w:bookmarkEnd w:id="0"/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"_Toc278985087" </w:instrText>
      </w:r>
      <w:r>
        <w:fldChar w:fldCharType="separate"/>
      </w:r>
      <w:r>
        <w:rPr>
          <w:rStyle w:val="12"/>
        </w:rPr>
        <w:t>СОДЕРЖАНИЕ</w:t>
      </w:r>
      <w:r>
        <w:tab/>
      </w:r>
      <w:r>
        <w:fldChar w:fldCharType="begin"/>
      </w:r>
      <w:r>
        <w:instrText xml:space="preserve"> PAGEREF _Toc278985087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\l "_Toc278985088" </w:instrText>
      </w:r>
      <w:r>
        <w:fldChar w:fldCharType="separate"/>
      </w:r>
      <w:r>
        <w:rPr>
          <w:rStyle w:val="12"/>
        </w:rPr>
        <w:t>ПАСПОРТ  ПРОГРАММЫ</w:t>
      </w:r>
      <w:r>
        <w:tab/>
      </w:r>
      <w:r>
        <w:fldChar w:fldCharType="begin"/>
      </w:r>
      <w:r>
        <w:instrText xml:space="preserve"> PAGEREF _Toc278985088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\l "_Toc278985089" </w:instrText>
      </w:r>
      <w:r>
        <w:fldChar w:fldCharType="separate"/>
      </w:r>
      <w:r>
        <w:rPr>
          <w:rStyle w:val="12"/>
        </w:rPr>
        <w:t>1. Технико-экономическое обоснование Программы</w:t>
      </w:r>
      <w:r>
        <w:tab/>
      </w:r>
      <w:r>
        <w:fldChar w:fldCharType="begin"/>
      </w:r>
      <w:r>
        <w:instrText xml:space="preserve"> PAGEREF _Toc278985089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\l "_Toc278985090" </w:instrText>
      </w:r>
      <w:r>
        <w:fldChar w:fldCharType="separate"/>
      </w:r>
      <w:r>
        <w:rPr>
          <w:rStyle w:val="12"/>
        </w:rPr>
        <w:t>2. Цели и задачи Программы</w:t>
      </w:r>
      <w:r>
        <w:tab/>
      </w:r>
      <w:r>
        <w:fldChar w:fldCharType="begin"/>
      </w:r>
      <w:r>
        <w:instrText xml:space="preserve"> PAGEREF _Toc278985090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\l "_Toc278985091" </w:instrText>
      </w:r>
      <w:r>
        <w:fldChar w:fldCharType="separate"/>
      </w:r>
      <w:r>
        <w:rPr>
          <w:rStyle w:val="12"/>
        </w:rPr>
        <w:t>3. Система программных мероприятий</w:t>
      </w:r>
      <w:r>
        <w:tab/>
      </w:r>
      <w:r>
        <w:fldChar w:fldCharType="begin"/>
      </w:r>
      <w:r>
        <w:instrText xml:space="preserve"> PAGEREF _Toc278985091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\l "_Toc278985092" </w:instrText>
      </w:r>
      <w:r>
        <w:fldChar w:fldCharType="separate"/>
      </w:r>
      <w:r>
        <w:rPr>
          <w:rStyle w:val="12"/>
        </w:rPr>
        <w:t>3.1. Энергосбережение и повышение энергоэффективности в бюджетном секторе</w:t>
      </w:r>
      <w:r>
        <w:tab/>
      </w:r>
      <w:r>
        <w:fldChar w:fldCharType="begin"/>
      </w:r>
      <w:r>
        <w:instrText xml:space="preserve"> PAGEREF _Toc278985092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\l "_Toc278985093" </w:instrText>
      </w:r>
      <w:r>
        <w:fldChar w:fldCharType="separate"/>
      </w:r>
      <w:r>
        <w:rPr>
          <w:rStyle w:val="12"/>
        </w:rPr>
        <w:t>3.2 Энергосбережение и повышение энергоэффективности в системах коммунальной инфраструктуры</w:t>
      </w:r>
      <w:r>
        <w:tab/>
      </w:r>
      <w:r>
        <w:fldChar w:fldCharType="begin"/>
      </w:r>
      <w:r>
        <w:instrText xml:space="preserve"> PAGEREF _Toc278985093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\l "_Toc278985094" </w:instrText>
      </w:r>
      <w:r>
        <w:fldChar w:fldCharType="separate"/>
      </w:r>
      <w:r>
        <w:rPr>
          <w:rStyle w:val="12"/>
        </w:rPr>
        <w:t>3.3 Типовые мероприятия</w:t>
      </w:r>
      <w:r>
        <w:tab/>
      </w:r>
      <w:r>
        <w:fldChar w:fldCharType="begin"/>
      </w:r>
      <w:r>
        <w:instrText xml:space="preserve"> PAGEREF _Toc278985094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\l "_Toc278985095" </w:instrText>
      </w:r>
      <w:r>
        <w:fldChar w:fldCharType="separate"/>
      </w:r>
      <w:r>
        <w:rPr>
          <w:rStyle w:val="12"/>
        </w:rPr>
        <w:t>4. Ресурсное обеспечение Программы</w:t>
      </w:r>
      <w:r>
        <w:tab/>
      </w:r>
      <w:r>
        <w:fldChar w:fldCharType="begin"/>
      </w:r>
      <w:r>
        <w:instrText xml:space="preserve"> PAGEREF _Toc278985095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\l "_Toc278985096" </w:instrText>
      </w:r>
      <w:r>
        <w:fldChar w:fldCharType="separate"/>
      </w:r>
      <w:r>
        <w:rPr>
          <w:rStyle w:val="12"/>
        </w:rPr>
        <w:t>5. Механизм реализации Программы</w:t>
      </w:r>
      <w:r>
        <w:tab/>
      </w:r>
      <w:r>
        <w:fldChar w:fldCharType="begin"/>
      </w:r>
      <w:r>
        <w:instrText xml:space="preserve"> PAGEREF _Toc278985096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\l "_Toc278985097" </w:instrText>
      </w:r>
      <w:r>
        <w:fldChar w:fldCharType="separate"/>
      </w:r>
      <w:r>
        <w:rPr>
          <w:rStyle w:val="12"/>
        </w:rPr>
        <w:t>7. Мониторинг реализации Программы</w:t>
      </w:r>
      <w:r>
        <w:tab/>
      </w:r>
      <w:r>
        <w:fldChar w:fldCharType="begin"/>
      </w:r>
      <w:r>
        <w:instrText xml:space="preserve"> PAGEREF _Toc278985097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62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HYPERLINK \l "_Toc278985098" </w:instrText>
      </w:r>
      <w:r>
        <w:fldChar w:fldCharType="separate"/>
      </w:r>
      <w:r>
        <w:rPr>
          <w:rStyle w:val="12"/>
        </w:rPr>
        <w:t>Список Приложений:</w:t>
      </w:r>
      <w:r>
        <w:tab/>
      </w:r>
      <w:r>
        <w:fldChar w:fldCharType="begin"/>
      </w:r>
      <w:r>
        <w:instrText xml:space="preserve"> PAGEREF _Toc278985098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3"/>
        <w:sectPr>
          <w:footerReference r:id="rId5" w:type="default"/>
          <w:footerReference r:id="rId6" w:type="even"/>
          <w:pgSz w:w="11907" w:h="16840"/>
          <w:pgMar w:top="851" w:right="567" w:bottom="1134" w:left="1701" w:header="720" w:footer="720" w:gutter="0"/>
          <w:cols w:space="708" w:num="1"/>
          <w:titlePg/>
          <w:docGrid w:linePitch="360" w:charSpace="0"/>
        </w:sectPr>
      </w:pPr>
      <w:r>
        <w:fldChar w:fldCharType="end"/>
      </w:r>
    </w:p>
    <w:p>
      <w:pPr>
        <w:pStyle w:val="3"/>
        <w:jc w:val="center"/>
        <w:rPr>
          <w:rFonts w:ascii="Times New Roman" w:hAnsi="Times New Roman" w:cs="Times New Roman"/>
          <w:i w:val="0"/>
        </w:rPr>
      </w:pPr>
      <w:bookmarkStart w:id="1" w:name="_Toc278985088"/>
      <w:r>
        <w:rPr>
          <w:rFonts w:ascii="Times New Roman" w:hAnsi="Times New Roman" w:cs="Times New Roman"/>
          <w:i w:val="0"/>
        </w:rPr>
        <w:t>ПАСПОРТ  ПРОГРАММЫ</w:t>
      </w:r>
      <w:bookmarkEnd w:id="1"/>
    </w:p>
    <w:p>
      <w:pPr>
        <w:ind w:firstLine="708"/>
        <w:jc w:val="both"/>
        <w:rPr>
          <w:sz w:val="28"/>
        </w:rPr>
      </w:pPr>
    </w:p>
    <w:tbl>
      <w:tblPr>
        <w:tblStyle w:val="10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061" w:type="dxa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целевая Программа «Энергосбережение и повышение энергетической эффективности в муниципальном образовании</w:t>
            </w:r>
            <w:r>
              <w:rPr>
                <w:sz w:val="28"/>
                <w:szCs w:val="28"/>
              </w:rPr>
              <w:t xml:space="preserve"> «Волочаевское сельское поселение»</w:t>
            </w:r>
            <w:r>
              <w:rPr>
                <w:sz w:val="28"/>
              </w:rPr>
              <w:t xml:space="preserve"> на 2024 год и на плановый период 2025, 2026 годов» (далее по тексту Программа)</w:t>
            </w:r>
          </w:p>
          <w:p>
            <w:pPr>
              <w:ind w:left="193"/>
              <w:jc w:val="both"/>
              <w:rPr>
                <w:sz w:val="2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32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061" w:type="dxa"/>
          </w:tcPr>
          <w:p>
            <w:pPr>
              <w:numPr>
                <w:ilvl w:val="0"/>
                <w:numId w:val="1"/>
              </w:numPr>
              <w:tabs>
                <w:tab w:val="left" w:pos="411"/>
              </w:tabs>
              <w:spacing w:line="228" w:lineRule="auto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23 ноября 2009 г.                             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>
            <w:pPr>
              <w:numPr>
                <w:ilvl w:val="0"/>
                <w:numId w:val="1"/>
              </w:numPr>
              <w:tabs>
                <w:tab w:val="left" w:pos="411"/>
              </w:tabs>
              <w:spacing w:line="228" w:lineRule="auto"/>
              <w:ind w:left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 Президента Российской Федерации от 4 </w:t>
            </w:r>
          </w:p>
          <w:p>
            <w:pPr>
              <w:spacing w:line="228" w:lineRule="auto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июня 2008 г. № 889 «О некоторых мерах по повышению энергетической и экологической эффективности российской экономики»;</w:t>
            </w:r>
          </w:p>
          <w:p>
            <w:pPr>
              <w:numPr>
                <w:ilvl w:val="0"/>
                <w:numId w:val="1"/>
              </w:numPr>
              <w:tabs>
                <w:tab w:val="left" w:pos="411"/>
              </w:tabs>
              <w:spacing w:line="228" w:lineRule="auto"/>
              <w:ind w:left="4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Российской </w:t>
            </w:r>
          </w:p>
          <w:p>
            <w:pPr>
              <w:spacing w:line="228" w:lineRule="auto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 от 31 декабря 2009 г.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left" w:pos="411"/>
                <w:tab w:val="clear" w:pos="574"/>
              </w:tabs>
              <w:spacing w:line="228" w:lineRule="auto"/>
              <w:ind w:left="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Еврейской автономной области от 27 июля 2010 г. № 307-ПП «Об областной целевой программе «Энергосбережение и повышение энергоэффективности в Еврейской автономной области на 2010-2020 годы». </w:t>
            </w:r>
          </w:p>
          <w:p>
            <w:pPr>
              <w:spacing w:line="228" w:lineRule="auto"/>
              <w:ind w:left="51"/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32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61" w:type="dxa"/>
          </w:tcPr>
          <w:p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«Волочаевское сельское поселение»</w:t>
            </w:r>
          </w:p>
          <w:p>
            <w:pPr>
              <w:spacing w:line="228" w:lineRule="auto"/>
              <w:ind w:left="231"/>
              <w:jc w:val="both"/>
              <w:rPr>
                <w:sz w:val="2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 w:hRule="atLeast"/>
        </w:trPr>
        <w:tc>
          <w:tcPr>
            <w:tcW w:w="32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061" w:type="dxa"/>
          </w:tcPr>
          <w:p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«Волочаевское сельское поселение»</w:t>
            </w:r>
          </w:p>
          <w:p>
            <w:pPr>
              <w:spacing w:line="228" w:lineRule="auto"/>
              <w:ind w:left="231"/>
              <w:jc w:val="both"/>
              <w:rPr>
                <w:sz w:val="2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0" w:hRule="atLeast"/>
        </w:trPr>
        <w:tc>
          <w:tcPr>
            <w:tcW w:w="32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61" w:type="dxa"/>
          </w:tcPr>
          <w:p>
            <w:pPr>
              <w:pStyle w:val="4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заинтересованности в энергосбережении;</w:t>
            </w:r>
          </w:p>
          <w:p>
            <w:pPr>
              <w:pStyle w:val="24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 снижение расходов бюджета Волочаевского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 </w:t>
            </w:r>
            <w:r>
              <w:rPr>
                <w:sz w:val="28"/>
              </w:rPr>
              <w:t>за счет снижения к 2023 году удельных показателей энергоемкости и энергопотребления, модернизации систем коммунальной инфраструктуры и создания условий для перевода экономики поселения на энергосберегающий путь развития.</w:t>
            </w:r>
          </w:p>
          <w:p>
            <w:pPr>
              <w:pStyle w:val="24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рационального использования топливно- энергетических ресурсов за счет реализации энергосберегающих мероприятий на основе широкомасштабного внедрения энерго эффективных технологий повышения энергетической эффективности по объектам муниципального образования «Волочаевское сельское поселение». </w:t>
            </w:r>
          </w:p>
          <w:p>
            <w:pPr>
              <w:spacing w:line="228" w:lineRule="auto"/>
              <w:jc w:val="both"/>
              <w:rPr>
                <w:i/>
                <w:sz w:val="2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1" w:hRule="atLeast"/>
        </w:trPr>
        <w:tc>
          <w:tcPr>
            <w:tcW w:w="3227" w:type="dxa"/>
          </w:tcPr>
          <w:p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  <w:p>
            <w:pPr>
              <w:pStyle w:val="39"/>
              <w:spacing w:before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6061" w:type="dxa"/>
          </w:tcPr>
          <w:p>
            <w:pPr>
              <w:pStyle w:val="39"/>
              <w:spacing w:line="228" w:lineRule="auto"/>
              <w:ind w:left="7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Обеспечение устойчивого процесса повышения эффективности энергопотребления, в том числе за счёт запуска механизмов стимулирования энергосбережения и повышения энергетической эффективности, реализации типовых энергосберегающих проектов, активизирующих деятельность хозяйствующих субъектов по реализации потенциала энергосбережения. </w:t>
            </w:r>
          </w:p>
          <w:p>
            <w:pPr>
              <w:pStyle w:val="39"/>
              <w:spacing w:line="228" w:lineRule="auto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1" w:hRule="atLeast"/>
        </w:trPr>
        <w:tc>
          <w:tcPr>
            <w:tcW w:w="3227" w:type="dxa"/>
          </w:tcPr>
          <w:p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реализации программных мероприятий </w:t>
            </w:r>
          </w:p>
        </w:tc>
        <w:tc>
          <w:tcPr>
            <w:tcW w:w="6061" w:type="dxa"/>
          </w:tcPr>
          <w:p>
            <w:pPr>
              <w:pStyle w:val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Повышение энергетической эффективности на объектах социальной сферы, в жилищном фонде и в системах коммунальной инфраструктуры.</w:t>
            </w:r>
          </w:p>
          <w:p>
            <w:pPr>
              <w:pStyle w:val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61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1" w:hRule="atLeast"/>
        </w:trPr>
        <w:tc>
          <w:tcPr>
            <w:tcW w:w="3227" w:type="dxa"/>
          </w:tcPr>
          <w:p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2024, 2025, 2026 годы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1" w:hRule="atLeast"/>
        </w:trPr>
        <w:tc>
          <w:tcPr>
            <w:tcW w:w="3227" w:type="dxa"/>
          </w:tcPr>
          <w:p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06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Муниципальные бюджетные учреждения, энергосервисные компании, управляющие компании и товарищества собственников жилья.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3227" w:type="dxa"/>
          </w:tcPr>
          <w:p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1" w:type="dxa"/>
          </w:tcPr>
          <w:p>
            <w:pPr>
              <w:pStyle w:val="39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год-  40000руб</w:t>
            </w:r>
          </w:p>
          <w:p>
            <w:pPr>
              <w:pStyle w:val="39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 год –  40000,00 рублей, средства муниципального бюджета;</w:t>
            </w:r>
          </w:p>
          <w:p>
            <w:pPr>
              <w:pStyle w:val="39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2026 год – 40000,00 рублей, средства муниципального бюджета;</w:t>
            </w:r>
          </w:p>
          <w:p>
            <w:pPr>
              <w:pStyle w:val="39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highlight w:val="yellow"/>
              </w:rPr>
              <w:t xml:space="preserve">  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42" w:hRule="atLeast"/>
        </w:trPr>
        <w:tc>
          <w:tcPr>
            <w:tcW w:w="322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1" w:type="dxa"/>
          </w:tcPr>
          <w:p>
            <w:pPr>
              <w:pStyle w:val="39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снижения объемов потребления энергетических ресурсов;</w:t>
            </w:r>
          </w:p>
          <w:p>
            <w:pPr>
              <w:pStyle w:val="39"/>
              <w:ind w:left="23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снижение нагрузки по оплате энергоносителей на местный бюджет;</w:t>
            </w:r>
          </w:p>
          <w:p>
            <w:pPr>
              <w:pStyle w:val="3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- снижение удельных показателей энергопотребления </w:t>
            </w:r>
          </w:p>
        </w:tc>
      </w:tr>
    </w:tbl>
    <w:p>
      <w:pPr>
        <w:pStyle w:val="3"/>
        <w:jc w:val="center"/>
        <w:rPr>
          <w:rFonts w:ascii="Times New Roman" w:hAnsi="Times New Roman" w:cs="Times New Roman"/>
          <w:i w:val="0"/>
        </w:rPr>
      </w:pPr>
      <w:bookmarkStart w:id="2" w:name="_Toc278985089"/>
      <w:r>
        <w:rPr>
          <w:rFonts w:ascii="Times New Roman" w:hAnsi="Times New Roman" w:cs="Times New Roman"/>
          <w:i w:val="0"/>
        </w:rPr>
        <w:t>1. Технико-экономическое обоснование Программы</w:t>
      </w:r>
      <w:bookmarkEnd w:id="2"/>
    </w:p>
    <w:p>
      <w:pPr>
        <w:jc w:val="center"/>
        <w:rPr>
          <w:sz w:val="28"/>
        </w:rPr>
      </w:pP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Основной проблемой, решению которой способствует муниципальная Программа, является отсутствие практики эффективного использования потребляемых ресурсов, недофинансирование расходов на содержание, модернизацию систем инженерной инфраструктуры бюджетных учреждений, отсутствие механизмов использования полученной экономии энергоресурсов. 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определена Указом Президента Российской Федерации от 4 июня 2008г. № 889 «О некоторых мерах по повышению энергетической и экологической эффективности российской экономики».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В рамках этого направления  принят Федеральный закон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план мероприятий по реализации Федерального закона, утвержденный распоряжением Правительства Российской Федерации от 1 декабря 2009г. № 1830-р.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В условиях роста цен на топливные ресурсы и электроэнергию стоимость тепловой энергии, производимой энерго снабжающими организациями, в период до 2024 года повысится в полтора и более раз. Близкие значения дает прогноз темпов роста стоимости услуг по водоснабжению и водоотведению. 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В этих условиях одной из основных угроз социально-экономическому развитию муниципального образования «Волочаевское сельское поселение» становится снижение конкурентоспособности предприятий, эффективности муниципального управления в поселении, вызванное ростом затрат на оплату топливно-энергетических и коммунальных ресурсов. Это может привести к следующим негативным последствиям: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- росту затрат предприятий, расположенных на территории поселения,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- снижению эффективности муниципальных расходов, вызванному ростом доли затрат на оплату коммунальных услуг в общих затратах на муниципальное управление;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опережающему росту затрат на оплату коммунальных ресурсов в расходах на содержание муниципальных организаций, и вызванному этим снижению эффективности оказания услуг. 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>3.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самоуправления.</w:t>
      </w:r>
    </w:p>
    <w:p>
      <w:pPr>
        <w:pStyle w:val="59"/>
        <w:spacing w:before="0" w:after="0" w:line="360" w:lineRule="exact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5. Необходимостью повышения эффективности расходования государственных средств и снижения рисков развития муниципального поселения.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Повышение эффективности использования энергии и других видов</w:t>
      </w:r>
      <w:r>
        <w:rPr>
          <w:i/>
          <w:sz w:val="28"/>
        </w:rPr>
        <w:t xml:space="preserve"> </w:t>
      </w:r>
      <w:r>
        <w:rPr>
          <w:sz w:val="28"/>
        </w:rPr>
        <w:t>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Для осуществления контроля над выполнением мероприятий Программы, оценки эффективности выделения средств и тиражирования лучшего опыта, Правительством Российской Федерации создается система мониторинга реализации программ энергосбережения и повышения энергетической эффективности.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Система должна обеспечивать возможность мониторинга хода выполнения мероприятий Программы (целевых показателей и индикаторов) на основе фактических данных потребления энергоресурсов, получаемых от ответственных за энергоэффективность по объекту.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Основные риски, связанные с реализацией Программы, определяются следующими факторами: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- ограниченностью источников финансирования программных мероприятий;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- неразвитостью механизмов привлечения средств на финансирование энергосберегающих мероприятий.</w:t>
      </w:r>
    </w:p>
    <w:p>
      <w:pPr>
        <w:pStyle w:val="42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является одной из приоритетных задач социально-экономического развития муниципального образования «Волочаевское сельское поселение».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общего руководства реализацией Программы на муниципальном уровне создается Рабочая группа по разработке, корректировке и реализации Программы, которая организует работу на поселенческом уровне, обеспечивает контроль выполнения мероприятий, своевременно выявляет риски реализации Программы и предпринимает меры по их снижению.</w:t>
      </w: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bookmarkStart w:id="3" w:name="_Toc278985090"/>
      <w:r>
        <w:rPr>
          <w:b/>
          <w:sz w:val="28"/>
          <w:szCs w:val="28"/>
        </w:rPr>
        <w:t>2. Цели и задачи Программы</w:t>
      </w:r>
      <w:bookmarkEnd w:id="3"/>
    </w:p>
    <w:p>
      <w:pPr>
        <w:jc w:val="both"/>
        <w:rPr>
          <w:sz w:val="28"/>
        </w:rPr>
      </w:pPr>
    </w:p>
    <w:p>
      <w:pPr>
        <w:pStyle w:val="24"/>
        <w:ind w:left="0" w:firstLine="720"/>
        <w:jc w:val="both"/>
        <w:rPr>
          <w:sz w:val="28"/>
        </w:rPr>
      </w:pPr>
      <w:r>
        <w:rPr>
          <w:sz w:val="28"/>
        </w:rPr>
        <w:t>Основной целью муниципальной Программы является повышение энергетической эффективности при  потреблении энергетических ресурсов бюджетными учреждениями муниципального образования «Волочаевское сельское поселение» за счет снижения к 2024 году удельных показателей энергоемкости и энергопотребления, модернизации систем коммунальной инфраструктуры и создания условий для перевода экономики поселения на энергосберегающий путь развития.</w:t>
      </w:r>
    </w:p>
    <w:p>
      <w:pPr>
        <w:pStyle w:val="24"/>
        <w:ind w:left="0" w:firstLine="720"/>
        <w:jc w:val="both"/>
        <w:rPr>
          <w:sz w:val="28"/>
        </w:rPr>
      </w:pPr>
    </w:p>
    <w:p>
      <w:pPr>
        <w:pStyle w:val="28"/>
      </w:pPr>
      <w:r>
        <w:t>Для достижения поставленной цели в ходе реализации Программы органам местного самоуправления необходимо решить следующие задачи: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Проведение комплекса организационно-правовых мероприятий по управлению энергосбережением, в том числе создание системы показателей на уровне каждого объекта и их мониторинга.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Расширение практики применения энергосберегающих технологий при модернизации, реконструкции и капитальном ремонте объектов муниципальной сферы.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энергетических обследований, составление энергетических паспортов во всех учреждениях и предприятиях, подлежащих обязательному энергетическому обследованию.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Обеспечение учета всего объема потребляемых энергетических ресурсов. Создание системы мониторинга реализации мероприятий энергосбережения на каждом объекте, включенном в Программу. Необходимо оснастить приборами учета коммунальных ресурсов и устройствами регулирования потребления тепловой энергии все органы </w:t>
      </w:r>
      <w:r>
        <w:rPr>
          <w:sz w:val="28"/>
        </w:rPr>
        <w:t xml:space="preserve">местного самоуправления, муниципальные бюджетные учреждения </w:t>
      </w:r>
      <w:r>
        <w:rPr>
          <w:sz w:val="28"/>
          <w:szCs w:val="28"/>
        </w:rPr>
        <w:t>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Реализация энергосберегающих мероприятий при капитальном ремонте  объектов бюджетной сферы поселения.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Указанные цели и задачи решаются впервые и Программа не дублирует цели и задачи других действующих программ поселения.</w:t>
      </w:r>
    </w:p>
    <w:p>
      <w:pPr>
        <w:jc w:val="center"/>
        <w:rPr>
          <w:b/>
          <w:sz w:val="28"/>
        </w:rPr>
      </w:pPr>
    </w:p>
    <w:p>
      <w:pPr>
        <w:pStyle w:val="3"/>
        <w:jc w:val="center"/>
        <w:rPr>
          <w:rFonts w:ascii="Times New Roman" w:hAnsi="Times New Roman" w:cs="Times New Roman"/>
          <w:i w:val="0"/>
        </w:rPr>
      </w:pPr>
      <w:r>
        <w:br w:type="page"/>
      </w:r>
      <w:bookmarkStart w:id="4" w:name="_Toc278985091"/>
      <w:r>
        <w:rPr>
          <w:rFonts w:ascii="Times New Roman" w:hAnsi="Times New Roman" w:cs="Times New Roman"/>
          <w:i w:val="0"/>
        </w:rPr>
        <w:t>3. Система программных мероприятий</w:t>
      </w:r>
      <w:bookmarkEnd w:id="4"/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  <w:r>
        <w:rPr>
          <w:sz w:val="28"/>
        </w:rPr>
        <w:t>Программа содержит набор тиражируемых мероприятий по направлениям реализации Программы, оценку масштабов их применения, энергосберегающих эффектов и затрат на их реализацию.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Своевременный вывод из эксплуатации старого оборудования, прекращение использования неэффективных технологических процессов должны осуществляться в соответствии с техническими регламентами, содержащими требования энергетической эффективности. </w:t>
      </w:r>
    </w:p>
    <w:p>
      <w:pPr>
        <w:ind w:firstLine="720"/>
        <w:jc w:val="both"/>
        <w:rPr>
          <w:sz w:val="28"/>
        </w:rPr>
      </w:pPr>
    </w:p>
    <w:p>
      <w:pPr>
        <w:pStyle w:val="3"/>
        <w:jc w:val="center"/>
        <w:rPr>
          <w:rFonts w:ascii="Times New Roman" w:hAnsi="Times New Roman" w:cs="Times New Roman"/>
          <w:i w:val="0"/>
        </w:rPr>
      </w:pPr>
      <w:bookmarkStart w:id="5" w:name="_Toc278985092"/>
      <w:r>
        <w:rPr>
          <w:rFonts w:ascii="Times New Roman" w:hAnsi="Times New Roman" w:cs="Times New Roman"/>
          <w:i w:val="0"/>
        </w:rPr>
        <w:t>3.1. Энергосбережение и повышение энергоэффективности в бюджетном секторе</w:t>
      </w:r>
      <w:bookmarkEnd w:id="5"/>
    </w:p>
    <w:p/>
    <w:p>
      <w:pPr>
        <w:pStyle w:val="42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период реализации Программы основной проблемой 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sz w:val="28"/>
        </w:rPr>
        <w:t xml:space="preserve">в бюджетной сфере будет снижение эффективности муниципального управления и оказания услуг, связанное с опережающим ростом стоимости коммунальных ресурсов, и вызванное этим резкое увеличение удельного веса расходов на оплату коммунальных услуг в общих расходах бюджетных организаций. </w:t>
      </w:r>
    </w:p>
    <w:p>
      <w:pPr>
        <w:pStyle w:val="42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данной 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при соблюдении установленных санитарных правил, норм и повышении надежности обеспечения коммунальными услугами.</w:t>
      </w:r>
    </w:p>
    <w:p>
      <w:pPr>
        <w:pStyle w:val="22"/>
        <w:spacing w:after="0"/>
        <w:ind w:firstLine="720"/>
        <w:jc w:val="both"/>
        <w:rPr>
          <w:i/>
          <w:sz w:val="28"/>
        </w:rPr>
      </w:pPr>
      <w:r>
        <w:rPr>
          <w:sz w:val="28"/>
        </w:rPr>
        <w:t>Основные задачи, которые необходимо решить для достижения поставленной цели:</w:t>
      </w:r>
      <w:r>
        <w:rPr>
          <w:i/>
          <w:sz w:val="28"/>
        </w:rPr>
        <w:t xml:space="preserve"> 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энергетических обследований, ведение энергетических паспортов по объектам муниципальных организаций;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оснащение приборами учета коммунальных ресурсов и устройствами  регулирования потребления тепловой энергии основные энергопотребляющие объекты муниципальной бюджетной сферы и перейти на расчеты между муниципальными организациями и поставщиками коммунальных ресурсов, исходя из показаний приборов учета;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применение современных энергосберегающих технологий при проектировании, строительстве, реконструкции и капитальном ремонте объектов капитального строительства за счет средств местного бюджета;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систему муниципальных нормативных правовых актов, стимулирующих энергосбережение.</w:t>
      </w:r>
    </w:p>
    <w:p>
      <w:pPr>
        <w:pStyle w:val="42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>
      <w:pPr>
        <w:ind w:firstLine="851"/>
        <w:jc w:val="both"/>
        <w:rPr>
          <w:sz w:val="28"/>
        </w:rPr>
      </w:pPr>
      <w:r>
        <w:rPr>
          <w:sz w:val="28"/>
        </w:rPr>
        <w:t>В программу включены следующие объекты бюджетной сферы муниципального образования «Волочаевское сельское поселение»:</w:t>
      </w:r>
    </w:p>
    <w:p>
      <w:pPr>
        <w:ind w:firstLine="851"/>
        <w:jc w:val="both"/>
        <w:rPr>
          <w:sz w:val="28"/>
        </w:rPr>
      </w:pP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Администрация Волочаевского сельского поселения;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Перечень мероприятий по повышению энергетической эффективности с оценкой экономии ресурсов приведен по каждому объекту в соответствующих приложениях 1.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Система программных мероприятий, содержание и структура настоящей Программы разработаны согласно требованиям государственной информационной системы (ГИС) в области энергосбережения и повышения энергетической эффективности. Исходные данные по объектам, включенным Программу внесены в ГИС, в которой будет осуществляться ежегодная корректировка программы, учитываться данные о фактическом потреблении ресурсов и формироваться необходимая отчетность. Доступ к информации осуществляется через Интернет-портал energosber.info.</w:t>
      </w:r>
    </w:p>
    <w:p>
      <w:pPr>
        <w:ind w:firstLine="709"/>
        <w:jc w:val="both"/>
        <w:rPr>
          <w:sz w:val="28"/>
        </w:rPr>
      </w:pPr>
    </w:p>
    <w:p>
      <w:pPr>
        <w:pStyle w:val="3"/>
        <w:jc w:val="center"/>
        <w:rPr>
          <w:rFonts w:ascii="Times New Roman" w:hAnsi="Times New Roman" w:cs="Times New Roman"/>
          <w:i w:val="0"/>
        </w:rPr>
      </w:pPr>
      <w:bookmarkStart w:id="6" w:name="_Toc278985093"/>
      <w:r>
        <w:rPr>
          <w:rFonts w:ascii="Times New Roman" w:hAnsi="Times New Roman" w:cs="Times New Roman"/>
          <w:i w:val="0"/>
        </w:rPr>
        <w:t>3.2 Энергосбережение и повышение энергоэффективности в системах коммунальной инфраструктуры</w:t>
      </w:r>
      <w:bookmarkEnd w:id="6"/>
    </w:p>
    <w:p>
      <w:pPr>
        <w:autoSpaceDE w:val="0"/>
        <w:autoSpaceDN w:val="0"/>
        <w:adjustRightInd w:val="0"/>
        <w:ind w:firstLine="720"/>
        <w:jc w:val="both"/>
        <w:rPr>
          <w:b/>
          <w:sz w:val="28"/>
        </w:rPr>
      </w:pP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Жилищно-коммунальное хозяйство </w:t>
      </w:r>
      <w:r>
        <w:rPr>
          <w:sz w:val="28"/>
          <w:szCs w:val="28"/>
        </w:rPr>
        <w:t xml:space="preserve">«Волочаевского сельского поселения» </w:t>
      </w:r>
      <w:r>
        <w:rPr>
          <w:sz w:val="28"/>
        </w:rPr>
        <w:t>Еврейской автономной области в сегодняшнем его состоянии характеризуется низкой инвестиционной привлекательностью и требует привлечения значительных финансовых ресурсов для модернизации и развития. Проблема усугубляется наличием большой задолженности в отрасли, образовавшейся в результате невыполнения бюджетами, в первую очередь муниципальными, своих обязательств, а также задолженностью населения за потребленные услуги.</w:t>
      </w:r>
    </w:p>
    <w:p>
      <w:pPr>
        <w:pStyle w:val="22"/>
        <w:spacing w:line="230" w:lineRule="auto"/>
        <w:ind w:firstLine="720"/>
        <w:jc w:val="both"/>
        <w:rPr>
          <w:sz w:val="28"/>
        </w:rPr>
      </w:pPr>
      <w:r>
        <w:rPr>
          <w:sz w:val="28"/>
        </w:rPr>
        <w:t>Первоочередного решения требуют следующие проблемы в жилищно-коммунальном хозяйстве муниципального образования:</w:t>
      </w:r>
    </w:p>
    <w:p>
      <w:pPr>
        <w:pStyle w:val="22"/>
        <w:spacing w:line="230" w:lineRule="auto"/>
        <w:ind w:firstLine="720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>высокий уровень износа основных фондов и коммуникаций;</w:t>
      </w:r>
    </w:p>
    <w:p>
      <w:pPr>
        <w:pStyle w:val="22"/>
        <w:spacing w:line="230" w:lineRule="auto"/>
        <w:ind w:firstLine="720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>низкая надежность поставок услуг конечным потребителям, возникающая из-за финансовой нестабильности в сочетании с отсутствием источников погашения задолженности;</w:t>
      </w:r>
    </w:p>
    <w:p>
      <w:pPr>
        <w:pStyle w:val="22"/>
        <w:spacing w:line="230" w:lineRule="auto"/>
        <w:ind w:firstLine="720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>существенное отставание развития жилищно-коммунального хозяйства поселения, отсутствие возможностей его финансирования;</w:t>
      </w:r>
    </w:p>
    <w:p>
      <w:pPr>
        <w:pStyle w:val="22"/>
        <w:spacing w:line="230" w:lineRule="auto"/>
        <w:ind w:firstLine="720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 xml:space="preserve">сохранение завышенных ожиданий бюджетной поддержки основных фондов регионального ЖКХ, достигающей 60-70 %, </w:t>
      </w:r>
    </w:p>
    <w:p>
      <w:pPr>
        <w:pStyle w:val="22"/>
        <w:spacing w:line="230" w:lineRule="auto"/>
        <w:ind w:firstLine="720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>неэффективная система управления, отсутствие реальных рычагов экономического и правового регулирования модернизации рынка жилищно-коммунальных услуг;</w:t>
      </w:r>
    </w:p>
    <w:p>
      <w:pPr>
        <w:pStyle w:val="22"/>
        <w:spacing w:line="230" w:lineRule="auto"/>
        <w:ind w:firstLine="720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 xml:space="preserve">большой объем ветхого и аварийного жилищного фонда; </w:t>
      </w:r>
    </w:p>
    <w:p>
      <w:pPr>
        <w:pStyle w:val="22"/>
        <w:spacing w:line="230" w:lineRule="auto"/>
        <w:ind w:firstLine="720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>высокие затраты на производство коммунальных услуг, неэффективность схем теплоснабжения, использование высокозатратных видов топлива, в т.ч. завозного;</w:t>
      </w:r>
    </w:p>
    <w:p>
      <w:pPr>
        <w:pStyle w:val="22"/>
        <w:spacing w:line="230" w:lineRule="auto"/>
        <w:ind w:firstLine="720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</w:r>
      <w:r>
        <w:rPr>
          <w:sz w:val="28"/>
        </w:rPr>
        <w:t xml:space="preserve">повышенные потери ресурсов в сетевой инфраструктуре. </w:t>
      </w:r>
    </w:p>
    <w:p>
      <w:pPr>
        <w:jc w:val="center"/>
        <w:rPr>
          <w:b/>
          <w:sz w:val="28"/>
        </w:rPr>
      </w:pPr>
    </w:p>
    <w:p>
      <w:pPr>
        <w:pStyle w:val="3"/>
        <w:jc w:val="center"/>
        <w:rPr>
          <w:rFonts w:ascii="Times New Roman" w:hAnsi="Times New Roman" w:cs="Times New Roman"/>
          <w:i w:val="0"/>
        </w:rPr>
      </w:pPr>
      <w:bookmarkStart w:id="7" w:name="_Toc278985094"/>
      <w:r>
        <w:rPr>
          <w:rFonts w:ascii="Times New Roman" w:hAnsi="Times New Roman" w:cs="Times New Roman"/>
          <w:i w:val="0"/>
        </w:rPr>
        <w:t>3.3 Типовые мероприятия</w:t>
      </w:r>
      <w:bookmarkEnd w:id="7"/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  <w:r>
        <w:rPr>
          <w:sz w:val="28"/>
        </w:rPr>
        <w:t>Программой предусмотрена реализация следующих типовых мероприятий на объектах муниципального поселения: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Энергетический аудит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Энергетический аудит служит для оценки эффективного использования энергоресурсов для предприятия, технологического процесса или оборудования и позволяет сделать количественные оценки сбережения энергоресурсов и финансовых затрат.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В процессе энергетического обследования определяется реальное состояние систем энергопотребления, устанавливаются источники непроизводительных потерь энергоресурсов, проводится поиск оптимальных путей снижения этих потерь, выбирается наиболее рациональная, с точки зрения выбранного критерия (снижение платы за энергоресурсы, сокращение потребления какого-либо вида энергоресурсов при сокращении лимитов, экология, обеспечение энергетической безопасности и т.п.),  стратегия деятельности по реализации конкретных мероприятий.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Реализация малозатратных и организационных мероприятий позволяет достигнуть экономии топливо-энергетических ресурсов без привлечения внешнего финансирования.</w:t>
      </w:r>
    </w:p>
    <w:p>
      <w:pPr>
        <w:jc w:val="both"/>
        <w:rPr>
          <w:bCs/>
        </w:rPr>
      </w:pPr>
      <w:r>
        <w:rPr>
          <w:bCs/>
          <w:u w:val="single"/>
        </w:rPr>
        <w:t>Ожидаемый эффект:</w:t>
      </w:r>
      <w:r>
        <w:rPr>
          <w:bCs/>
        </w:rPr>
        <w:t xml:space="preserve"> малозатратные и организационные мероприятия снижают потребление энергоресурсов на 5-10%.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Установка приборов учета тепла и горячей воды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Обязательным условием получения денежной экономии от сокращения потребления топливно-энергетических ресурсов является наличие приборного учета. Оснащение учреждений приборами учета тепла и горячей воды является экономически оправданным мероприятием. Как правило, фактическое потребление тепла и горячей воды существенно ниже расчетного. Экономия денежных средств на оплату услуг отопления и горячего водоснабжения в среднем составляет 15..20%.  Срок окупаемости установки приборов учета тепла не превышает 2-х отопительных сезонов.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Финансовую экономию от установки приборов учета тепа целесообразно направить на финансирование других энергосберегающих мероприятий. Установка приборов учета тепла возможна без привлечения внешнего финансирования в рамках энергосервисных контрактов.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снижение платежей за тепло и горячую воду на 10-30%.</w:t>
      </w:r>
    </w:p>
    <w:p>
      <w:pPr>
        <w:ind w:firstLine="720"/>
        <w:jc w:val="both"/>
        <w:rPr>
          <w:b/>
          <w:bCs/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Установка приборов учета холодной воды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Несмотря на невысокие тарифы за холодную воду, приборы учета воды окупаются примерно за 2-4 года.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Целесообразно использование современных электромагнитных приборов позволяющих учитывать эксплуатационный расход здания и, одновременно, обеспечивать прохождение расхода воды на пожаротушение. За счет  таких приборов можно упростить и удешевить внутреннюю систему пожаротушения здания, исключив из нее электрифицированные задвижки и кнопки управления.</w:t>
      </w:r>
    </w:p>
    <w:p>
      <w:pPr>
        <w:ind w:firstLine="720"/>
        <w:jc w:val="both"/>
      </w:pPr>
      <w:r>
        <w:rPr>
          <w:bCs/>
          <w:u w:val="single"/>
        </w:rPr>
        <w:t>Ожидаемый эффект :</w:t>
      </w:r>
      <w:r>
        <w:rPr>
          <w:bCs/>
        </w:rPr>
        <w:t xml:space="preserve"> снижение платежей холодную воду на 10-20%.</w:t>
      </w:r>
    </w:p>
    <w:p>
      <w:pPr>
        <w:ind w:firstLine="720"/>
        <w:jc w:val="both"/>
        <w:rPr>
          <w:b/>
          <w:bCs/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Установка двухтарифного счетчика электрической энергии (день-ночь).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Даже при односменной работе не менее 15-20% процентов потребления электрической энергии приходится на ночное время. Это электропотребление систем наружного и дежурного освещения, вентиляции, насосов. Использование ночного тарифа (который на 30-40% ниже дневного) позволяет снизить затраты на электроэнергию на 3-5% без значительных капитальных затрат.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Развитием использования преимуществ ночного тарифа является включение мощного электронагревательного оборудования только в ночное время с аккумуляцией теплоты на суточное потребление. Наиболее распространено приготовление горячей воды в баках - накопителях, причем нагреватели баков включаются только в ночное время.</w:t>
      </w:r>
    </w:p>
    <w:p>
      <w:pPr>
        <w:ind w:firstLine="720"/>
        <w:jc w:val="both"/>
      </w:pPr>
      <w:r>
        <w:rPr>
          <w:bCs/>
          <w:u w:val="single"/>
        </w:rPr>
        <w:t>Ожидаемый эффект :</w:t>
      </w:r>
      <w:r>
        <w:rPr>
          <w:bCs/>
        </w:rPr>
        <w:t xml:space="preserve"> снижение платежей  за электроэнергию на 4-10%.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Установка регуляторов давления холодной и горячей воды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Расход воды через сантехнические приборы пропорционален давлению жидкости в системе. Т.е., снижая давление в системе в 2 раза, мы получаем снижение расхода в 1,4 раза. Нормативной литературой регламентируется максимальное давление воды перед водоразборными кранами – 4,5 атм. Зачастую давление в сетях существенно превышает это значение, что приводит к повышенным расходам воды (особенно на нижних этажах многоэтажных зданий).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Понижение давления воды до оптимального уровня и выравнивание его по этажам здания,  сокращают непроизводительные потери воды. Помимо этого улучшаются условия работы сантехнической арматуры, уменьшается возможность аварий и термических ожогов.</w:t>
      </w:r>
    </w:p>
    <w:p>
      <w:pPr>
        <w:ind w:firstLine="720"/>
        <w:jc w:val="both"/>
      </w:pPr>
      <w:r>
        <w:rPr>
          <w:bCs/>
          <w:u w:val="single"/>
        </w:rPr>
        <w:t>Ожидаемый эффект :</w:t>
      </w:r>
      <w:r>
        <w:rPr>
          <w:bCs/>
        </w:rPr>
        <w:t xml:space="preserve"> сокращение расхода холодной и горячей воды на 5-10%.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b/>
          <w:bCs/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Установка регулятора температуры горячей воды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Нормативная литература ограничивает в тепловых сетях максимальную температуру горячей воды  - 70</w:t>
      </w:r>
      <w:r>
        <w:rPr>
          <w:sz w:val="28"/>
        </w:rPr>
        <w:sym w:font="Symbol" w:char="F0B0"/>
      </w:r>
      <w:r>
        <w:rPr>
          <w:sz w:val="28"/>
        </w:rPr>
        <w:t>С. При открытом водозаборе из тепловых сетей температура может существенно превышать это значение и достигать 95</w:t>
      </w:r>
      <w:r>
        <w:rPr>
          <w:sz w:val="28"/>
        </w:rPr>
        <w:sym w:font="Symbol" w:char="F0B0"/>
      </w:r>
      <w:r>
        <w:rPr>
          <w:sz w:val="28"/>
        </w:rPr>
        <w:t xml:space="preserve">С.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Регулятор температуры смешивает воду из подающей и обратной магистрали тепловых сетей и подает в линию горячего водоснабжения. Значительная экономия тепла достигается за счет уменьшения температуры горячей воды. Немаловажным преимуществом регулятора является также уменьшение риска термических ожогов горячей водой.</w:t>
      </w:r>
    </w:p>
    <w:p>
      <w:pPr>
        <w:ind w:firstLine="720"/>
        <w:jc w:val="both"/>
      </w:pPr>
      <w:r>
        <w:rPr>
          <w:bCs/>
          <w:u w:val="single"/>
        </w:rPr>
        <w:t>Ожидаемый эффект :</w:t>
      </w:r>
      <w:r>
        <w:rPr>
          <w:bCs/>
        </w:rPr>
        <w:t xml:space="preserve"> сокращение расхода горячей воды на 7-15%.</w:t>
      </w:r>
    </w:p>
    <w:p>
      <w:pPr>
        <w:ind w:firstLine="720"/>
        <w:jc w:val="both"/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Установка автоматизированного индивидуального теплового пункта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В централизованных системах теплоснабжения температура теплоносителя регулируется осредненно, исходя из показателей типового здания и среднесуточной температуры наружного воздуха. По условиям обеспечения температуры горячего водоснабжения температура подачи не может быть ниже 70</w:t>
      </w:r>
      <w:r>
        <w:rPr>
          <w:sz w:val="28"/>
        </w:rPr>
        <w:sym w:font="Symbol" w:char="F0B0"/>
      </w:r>
      <w:r>
        <w:rPr>
          <w:sz w:val="28"/>
        </w:rPr>
        <w:t>С. Такое упрощенное регулирование вызывает систематический «перетоп» зданий в переходные периоды (весна-осень).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Автоматизированный тепловой пункт осуществляет коррекцию температурного графика тепловых сетей исходя из индивидуальных характеристик здания и текущих погодных условий. За счет более точного регулирования достигается умеренная экономия тепла в холодный период года  (около 10%) и значительная экономия в переходные периоды (до 50%).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Дополнительным преимуществом индивидуальных тепловых пунктов является значительное увеличение срока службы системы отопления за счет отсутствия отложений.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сокращение расхода тепла на 15-20%. Ликвидация «перетопов» в переходные периоды года.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Выполнение гидравлической балансировки системы отопления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Температура во всех помещениях здания будет одинакова при выполнении двух условий: во-первых, если мощность нагревательных приборов соответствует теплопотерям помещений, во-вторых, если расход теплоносителя через нагревательный прибор соответствует проектному расходу. На практике второе условие практически никогда не выполняется. Это приводит к тому, что в части помещений холодно, зато в другой части вынуждены открывать форточки.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С помощью ручных или автоматических балансировочных вентилей можно перераспределить потоки теплоносителя в соответствии с теплопотерями помещений и выровнять температуры в них.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сокращение расхода тепла на 15-20%, ликвидация «перетопов» в переходные периоды года.</w:t>
      </w:r>
    </w:p>
    <w:p>
      <w:pPr>
        <w:ind w:firstLine="720"/>
        <w:jc w:val="both"/>
        <w:rPr>
          <w:b/>
          <w:bCs/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Тепловая изоляция трубопроводов внутри здания, установка отражающей теплоизоляции за радиаторами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Тепловая изоляция трубопроводов позволяет уменьшить неконтролируемое тепловыделение. Это, в свою очередь, снижает температуру и теплопотери в помещениях технического назначения (чердаки, подвалы и пр.). 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Отражающая теплоизоляция (алюминиевая фольга) уменьшает потери тепла участка стены, расположенного непосредственно за радиатором.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сокращение расхода тепла на 2-5%. Повышение точности поддержания температуры в помещениях при использовании радиаторных термостатов. Снижение тепловых потерь системы циркуляции горячего водоснабжения.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Установка радиаторных термостатов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Радиаторный термостат представляет собой автоматическое устройство, которое поддерживает заданную температуру в помещении путем дросселирования потока теплоносителя в нагревательном приборе.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Применение радиаторных термостатов позволяет утилизировать тепловыделения в помещении (солнце, оборудование, люди) и точно поддерживать необходимую температуру.  Помимо прямого экономического эффекта термостаты позволяют улучшить комфортность.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сокращение расхода тепла на 7-10%. </w:t>
      </w:r>
    </w:p>
    <w:p>
      <w:pPr>
        <w:ind w:firstLine="720"/>
        <w:jc w:val="both"/>
        <w:rPr>
          <w:b/>
          <w:bCs/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Использование приточно-вытяжных систем с рекуперативным теплообменником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Подача свежего воздуха в зимний период требует огромных энергетических затрат на его подогрев. Мощность системы вентиляции здания общественного назначения как минимум соизмерима с мощностью системы отопления.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Рекуперативный теплообменник извлекает тепло из вытяжного воздуха и использует его для подогрева приточного. Эффективность наиболее совершенных роторных теплообменников с обменом влажностью достигает 90 %. Это делает возможным полностью отказаться от дополнительного подогрева приточного воздуха.  Подобные установки должны найти самое широкое применение в зданиях общественного назначения.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сокращение расхода тепла на подогрев приточного воздуха 25-40%. 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Восстановление систем циркуляции горячего водоснабжения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При отсутствии или неработоспособности системы горячего водоснабжения возникают дополнительные потери воды за счет необходимости предварительного слива охлажденной в трубах горячей воды. Кроме этого  нарушается работа систем автоматического регулирования температуры горячей воды, резко снижается точность поддержания температуры.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Системы циркуляции горячего водоснабжения целесообразно комплектовать дополнительным электрическим подогревателем для работы в летний период.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сокращение расхода тепла на горячее водоснабжение на 3-7%. </w:t>
      </w: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Использование солнечных водонагревателей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Использование энергии солнца позволяет полностью обеспечить потребности горячего водоснабжения в период с апреля по октябрь. Применение солнечных водонагревателей в зимний период экономически нецелесообразно из-за снижения располагаемого количества солнечной энергии и падения КПД коллекторов при низких температурах окружающей среды.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При существующих тарифах на электроэнергию срок окупаемости солнечных водонагревателей достаточно велик: 4-8 лет. Их применение оправдано в районах с сезонными ограничениями в подаче горячей воды и при дефиците мощности электроснабжения.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  сокращение расхода тепла на горячее водоснабжение на 20-30%.</w:t>
      </w:r>
    </w:p>
    <w:p>
      <w:pPr>
        <w:ind w:firstLine="720"/>
        <w:jc w:val="both"/>
        <w:rPr>
          <w:b/>
          <w:bCs/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Замена окон на энергоэффективные конструкции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Современные оконные конструкции (пластиковые, металлодеревянные, алюминиевые) обеспечивают снижение теплопотерь через окна в 1,2 -1,5 раза по сравнению с традиционными деревянными окнами. Одновременно в 5-6 раз уменьшается проникновение наружного воздуха в помещения (инфильтрация).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Окупаемость замены окон длительная, не менее 10-ти лет.  Следует также отметить, что резкое уменьшение инфильтрации приводит к остановке систем естественной вентиляции. Кратность воздухообмена в помещениях падает, что приводит к неприятным последствиям: развитие плесени, повышенная влажность, неприятные запахи и т.д. При замене традиционных окон на герметичные конструкции следует предусматривать устройство приточно-вытяжной вентиляции с механическим побуждением.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   сокращение расхода тепла на отопление на 10-20%.</w:t>
      </w:r>
    </w:p>
    <w:p>
      <w:pPr>
        <w:ind w:firstLine="720"/>
        <w:jc w:val="both"/>
        <w:rPr>
          <w:b/>
          <w:bCs/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Наружное утепление зданий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Здания, построенные в 50-80–х. годах прошлого века характеризуются низким значением коэффициента термического сопротивления наружных стен. Современные требования к теплозащитным свойствам наружных стен в 3-3,5 раза выше. Реконструкция зданий с утеплением наружных стен позволяет снизить потребление тепловой энергии как минимум на 10-15%.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Срок окупаемости мероприятия длительный от 10-ти до 20-ти лет. Основные капитальные затраты связаны не собственно с утеплителем или работами по его установке, а с декоративно-защитным фасадным покрытием (алюкобонд, керамогранит и пр).   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 сокращение расхода тепла на отопление на 10-20%.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Использование светодиодных источников для освещения мест общего пользования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В настоящее время массовые светодиодные источники  достигли уровня эффективности люминесцентных ламп (светоотдача 70..80 лм/Вт), экспериментальные образцы достигли светоотдачи 137 лм/Вт. Преодолена и проблема недостаточной мощности, не позволяющей использовать светодиодные источники для общего освещения. Максимальная мощность одиночного светодиода достигает 400 Ватт.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У светодиодных источников света есть и другие достоинства: длительный срок службы (до 100 тыс. часов), не содержат ртуть, отсутствие мерцания. При реконструкции систем освещения следует широко применять светодиоды, особенно для освещения вспомогательных зон (коридоры, лестницы, тамбуры, подвалы).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 сокращение расхода электроэнергии на 5-8%.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Внедрение систем автоматического управления освещением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Для управления наружным освещением используются датчики освещенности (сумеречные выключатели). Для управления освещенностью мест с периодическим пребыванием людей датчики присутствия различных типов (микроволновые, акустические, инфракрасные). Эти простейшие (и достаточно дешевые) элементы автоматики позволяют сократить потребление электрической энергии на 8-10%.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Дополнительной мерой для снижения потребления может быть замена выключателей на мощных приборах освещения таймерами, обеспечивающими принудительное выключение по истечению заданного времени.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 сокращение расхода электроэнергии на 5-10%.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Замена люминесцентных светильников на светильники с электронным пуско-регулирующим устройством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При плановой замене пуско-регулирующих устройств электромагнитного типа (ЭМПРА) следует использовать электронные устройства (ЭПРА). Это позволяет снизить потребление светильником на 15-20%, улучшить качество света за счет устранения неприятных пульсаций. Ввиду небольшой стоимости пуско-регулирующей аппаратуры срок окупаемости этого мероприятия не превышает 3-х лет.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В ряде случаев целесообразно устанавливать ЭПРА с возможностью диммирования (регулирования светового потока ламп). Существующие модели ЭПРА позволяют осуществлять диммирование без прокладки дополнительных проводов.</w:t>
      </w:r>
    </w:p>
    <w:p>
      <w:pPr>
        <w:ind w:firstLine="720"/>
        <w:jc w:val="both"/>
      </w:pPr>
      <w:r>
        <w:rPr>
          <w:bCs/>
          <w:u w:val="single"/>
        </w:rPr>
        <w:t>Ожидаемый эффект:</w:t>
      </w:r>
      <w:r>
        <w:rPr>
          <w:bCs/>
        </w:rPr>
        <w:t xml:space="preserve"> сокращение расхода электроэнергии на 5-10%.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  <w:r>
        <w:rPr>
          <w:sz w:val="28"/>
        </w:rPr>
        <w:t>Собственники зданий, строений, сооружений, собственники помещений в многоквартирных домах обязаны обеспечивать соответствие зданий, строений, сооружений,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в течение всего срока их службы путем организации их надлежащей эксплуатации и своевременного устранения выявленных несоответствий.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Реализация мероприятий энергосбережения и повышения энергетической эффективности относительно зданий, строений и сооружений, находящихся в ведении муниципальных органов исполнительной власти, осуществляется и оплачивается в соответствии с бюджетным законодательством Российской Федерации и законодательством Российской Федерации о размещении заказов.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выявления факта несоответствия здания, строения, сооружения, или их отдельных элементов, их конструкций требованиям энергетической эффективности и требованиям их оснащенности приборами учета используемых энергетических ресурсов, возникшего вследствие несоблюдения застройщиком данных требований, собственник здания, строения или сооружения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несоответствия. </w:t>
      </w:r>
    </w:p>
    <w:p>
      <w:pPr>
        <w:ind w:firstLine="720"/>
        <w:jc w:val="both"/>
        <w:rPr>
          <w:sz w:val="28"/>
          <w:szCs w:val="28"/>
        </w:rPr>
      </w:pPr>
    </w:p>
    <w:p>
      <w:pPr>
        <w:pStyle w:val="3"/>
        <w:jc w:val="center"/>
        <w:rPr>
          <w:rFonts w:ascii="Times New Roman" w:hAnsi="Times New Roman" w:cs="Times New Roman"/>
          <w:i w:val="0"/>
        </w:rPr>
      </w:pPr>
      <w:bookmarkStart w:id="8" w:name="_Toc278985095"/>
      <w:r>
        <w:rPr>
          <w:rFonts w:ascii="Times New Roman" w:hAnsi="Times New Roman" w:cs="Times New Roman"/>
          <w:i w:val="0"/>
        </w:rPr>
        <w:t>4. Ресурсное обеспечение Программы</w:t>
      </w:r>
      <w:bookmarkEnd w:id="8"/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  <w:r>
        <w:rPr>
          <w:sz w:val="28"/>
        </w:rPr>
        <w:t>Затраты на реализацию программных мероприятий рассчитываются исходя из усредненных затрат на реализацию каждого вида мероприятий. Стоимость выполнения работ будет уточняться по результатам энергетических обследований объектов, входящих в Программу, и предложенных мероприятий, определенных исходя из натурных измерений.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Финансирование мероприятий, направленных на повышение эффективности использования ресурсов коммерческими предприятиями, организациями, коммунально-бытовыми потребителями и иными субъектами различных видов собственности и организационно-правовых форм, из областного и муниципального бюджета не предполагается. Участие органов исполнительной власти в реализации данных мероприятий ограничивается организационным содействием и консультационной помощью.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Всего на реализацию мероприятий Программы Волочаевского сельского поселения на период 2024-2026 годы потребуется 120000,00 руб.</w:t>
      </w:r>
    </w:p>
    <w:p>
      <w:pPr>
        <w:pStyle w:val="3"/>
      </w:pPr>
    </w:p>
    <w:p>
      <w:pPr>
        <w:pStyle w:val="3"/>
        <w:jc w:val="center"/>
        <w:rPr>
          <w:rFonts w:ascii="Times New Roman" w:hAnsi="Times New Roman" w:cs="Times New Roman"/>
          <w:i w:val="0"/>
        </w:rPr>
      </w:pPr>
      <w:bookmarkStart w:id="9" w:name="_Toc278985096"/>
      <w:r>
        <w:rPr>
          <w:rFonts w:ascii="Times New Roman" w:hAnsi="Times New Roman" w:cs="Times New Roman"/>
          <w:i w:val="0"/>
        </w:rPr>
        <w:t>5. Механизм реализации Программы</w:t>
      </w:r>
      <w:bookmarkEnd w:id="9"/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Организацию и управление реализацией Программы осуществляет Рабочая группа, созданная при </w:t>
      </w:r>
      <w:r>
        <w:rPr>
          <w:sz w:val="28"/>
          <w:szCs w:val="28"/>
        </w:rPr>
        <w:t>Администрации муниципального образования «Волочаевское сельское поселение».</w:t>
      </w:r>
    </w:p>
    <w:p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Администрация муниципального образования «Волочаевское сельское поселение» </w:t>
      </w:r>
      <w:r>
        <w:rPr>
          <w:sz w:val="28"/>
        </w:rPr>
        <w:t xml:space="preserve">реализует функции заказчика Программы во взаимодействии с заинтересованными органами исполнительной власти </w:t>
      </w:r>
      <w:r>
        <w:rPr>
          <w:sz w:val="28"/>
          <w:szCs w:val="28"/>
        </w:rPr>
        <w:t xml:space="preserve">Еврейской автономной области </w:t>
      </w:r>
      <w:r>
        <w:rPr>
          <w:sz w:val="28"/>
        </w:rPr>
        <w:t>и по мере необходимости готовит предложения по корректировке реестра объектов и перечня программных мероприятий на очередной финансовый год, уточняет объемы их финансирования, отдельные показатели, а также механизм реализации Программы.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Взаимоотношения администрации </w:t>
      </w:r>
      <w:r>
        <w:rPr>
          <w:sz w:val="28"/>
          <w:szCs w:val="28"/>
        </w:rPr>
        <w:t xml:space="preserve">муниципального образования «Волочаевское сельское поселение» </w:t>
      </w:r>
      <w:r>
        <w:rPr>
          <w:sz w:val="28"/>
        </w:rPr>
        <w:t>с заказчиками и исполнителями программных мероприятий осуществляются на договорной основе в соответствии с требованиями Федерального закона от 05.04.2013 № 44-ФЗ "О размещении заказов на поставки товаров, выполнение работ, оказание услуг для государственных и муниципальных нужд".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center"/>
        <w:rPr>
          <w:b/>
          <w:i/>
          <w:sz w:val="28"/>
        </w:rPr>
      </w:pPr>
      <w:r>
        <w:rPr>
          <w:b/>
          <w:sz w:val="28"/>
        </w:rPr>
        <w:t>6</w:t>
      </w:r>
      <w:r>
        <w:rPr>
          <w:b/>
          <w:i/>
          <w:sz w:val="28"/>
        </w:rPr>
        <w:t xml:space="preserve">. </w:t>
      </w:r>
      <w:r>
        <w:rPr>
          <w:rStyle w:val="32"/>
          <w:rFonts w:ascii="Times New Roman" w:hAnsi="Times New Roman" w:cs="Times New Roman"/>
          <w:i w:val="0"/>
        </w:rPr>
        <w:t>Оценка социально-экономической эффективности Программы</w:t>
      </w:r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  <w:r>
        <w:rPr>
          <w:sz w:val="28"/>
        </w:rPr>
        <w:t>Реализация мероприятий энергосбережения в поселении позволит обеспечивать потребителям энергоресурсов сокращение расходов и должно повысить качество поставляемых услуг.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Результатами реализации потенциала энергосбережения является практическое привлечение потребителей к процессу экономии энергоресурсов, повышение культуры их потребления. Ожидаемая экономия ресурсов, потребляемых на объектах, в натуральных единицах измерения представлена на графиках в соответствующих приложениях.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В рамках разработки программы проведен анализ и рассмотрены основные неблагоприятные факторы на пути повышения энергоэффективности, а также возможные решения - законодательные или организационные инициативы, которые необходимы для устранения данных барьеров.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В качестве основных факторов, способных оказать неблагоприятное воздействие на реализацию муниципальной целевой программы, необходимо выделить следующие:</w:t>
      </w:r>
    </w:p>
    <w:p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Недостаточное осознание значимости повышения энергоэффективности и невысокий уровень осведомленности потребителей и поставщиков энергоресурсов и коммунальных услуг. Преодоление данного барьера возможно посредством информационной политики, стимулирующей рациональное использование энергоресурсов.</w:t>
      </w:r>
    </w:p>
    <w:p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Отсутствие синхронизации между мероприятиями по повышению энергоэффективности потребителями и производителями энергоресурсов. При сокращении потребления ресурсов и услуг, вызванное реализацией мер по энергосбережению, будет опережать модернизацию и повышение эффективности поставщиков энергоресурсов и услуг, возможно снижение их рентабельности в результате фактического сокращения поступления финансовых средств, предусмотренных утвержденными тарифами. Для того чтобы избежать возникновения данного фактора, модернизация коммунальной инфраструктуры должна опережать внедрение ресурсосберегающих технологий в системах потребления.</w:t>
      </w:r>
    </w:p>
    <w:p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Влияние кризисных явлений, в результате чего возможно недостаточное бюджетное финансирование, направленное на повышение энергетической эффективности, в рамках объемов, предусмотренных Программой, в результате возможно недостижение плановых показателей программы. В данном случае необходима корректировка Программы с учетом фактической возможности бюджетов.</w:t>
      </w:r>
    </w:p>
    <w:p>
      <w:pPr>
        <w:jc w:val="center"/>
        <w:rPr>
          <w:b/>
          <w:sz w:val="28"/>
        </w:rPr>
      </w:pPr>
    </w:p>
    <w:p>
      <w:pPr>
        <w:pStyle w:val="3"/>
        <w:jc w:val="center"/>
        <w:rPr>
          <w:rFonts w:ascii="Times New Roman" w:hAnsi="Times New Roman" w:cs="Times New Roman"/>
          <w:i w:val="0"/>
        </w:rPr>
      </w:pPr>
      <w:bookmarkStart w:id="10" w:name="_Toc278985097"/>
      <w:r>
        <w:rPr>
          <w:rFonts w:ascii="Times New Roman" w:hAnsi="Times New Roman" w:cs="Times New Roman"/>
          <w:i w:val="0"/>
        </w:rPr>
        <w:t>7. Мониторинг реализации Программы</w:t>
      </w:r>
      <w:bookmarkEnd w:id="10"/>
    </w:p>
    <w:p>
      <w:pPr>
        <w:ind w:firstLine="720"/>
        <w:jc w:val="both"/>
        <w:rPr>
          <w:sz w:val="28"/>
        </w:rPr>
      </w:pPr>
    </w:p>
    <w:p>
      <w:pPr>
        <w:ind w:firstLine="720"/>
        <w:jc w:val="both"/>
        <w:rPr>
          <w:sz w:val="28"/>
        </w:rPr>
      </w:pPr>
      <w:r>
        <w:rPr>
          <w:sz w:val="28"/>
        </w:rPr>
        <w:t>Для осуществления контроля над выполнением мероприятий Программы, оценки эффективности, выделения и тиражирования лучшего опыта, будет создана система мониторинга реализации Программы, включающая организационные структуры мониторинга и специализированные информационные системы.</w:t>
      </w: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объекту, входящему в Программу энергосбережения будет назначен сотрудник, ответственный за энергосбережение. Его работа должна быть организована через автоматизированное рабочее место с функциями ручного ввода данных, мониторинга данных поступающих с приборов, мониторинг реализации конкретных задач в рамках мероприятий.</w:t>
      </w:r>
    </w:p>
    <w:p>
      <w:pPr>
        <w:pStyle w:val="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right="-567"/>
        <w:jc w:val="both"/>
        <w:rPr>
          <w:b/>
          <w:sz w:val="28"/>
          <w:szCs w:val="28"/>
        </w:rPr>
      </w:pPr>
    </w:p>
    <w:p>
      <w:pPr>
        <w:pStyle w:val="3"/>
        <w:rPr>
          <w:rFonts w:ascii="Times New Roman" w:hAnsi="Times New Roman" w:cs="Times New Roman"/>
          <w:i w:val="0"/>
        </w:rPr>
      </w:pPr>
      <w:r>
        <w:br w:type="page"/>
      </w:r>
      <w:bookmarkStart w:id="11" w:name="_Toc278985098"/>
      <w:r>
        <w:rPr>
          <w:rFonts w:ascii="Times New Roman" w:hAnsi="Times New Roman" w:cs="Times New Roman"/>
          <w:i w:val="0"/>
        </w:rPr>
        <w:t>Список Приложений:</w:t>
      </w:r>
      <w:bookmarkEnd w:id="11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Основные технические и эксплуатационные характеристики, а также программа энергосбережения объекта: </w:t>
      </w:r>
      <w:r>
        <w:rPr>
          <w:sz w:val="28"/>
        </w:rPr>
        <w:t>Администрация Волочаевского сельского поселения</w:t>
      </w:r>
      <w:r>
        <w:rPr>
          <w:sz w:val="28"/>
          <w:szCs w:val="28"/>
        </w:rPr>
        <w:t>.</w:t>
      </w:r>
    </w:p>
    <w:p>
      <w:pPr>
        <w:ind w:left="2160" w:hanging="216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1 - Основные технические и эксплуатационные характеристики, а также программа энергосбережения объекта: </w:t>
      </w:r>
      <w:r>
        <w:rPr>
          <w:sz w:val="28"/>
        </w:rPr>
        <w:t>Администрация Волочаевского сельского поселения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</w:p>
    <w:tbl>
      <w:tblPr>
        <w:tblStyle w:val="10"/>
        <w:tblW w:w="4945" w:type="pct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512"/>
        <w:gridCol w:w="807"/>
        <w:gridCol w:w="655"/>
        <w:gridCol w:w="435"/>
        <w:gridCol w:w="1028"/>
        <w:gridCol w:w="142"/>
        <w:gridCol w:w="918"/>
        <w:gridCol w:w="688"/>
        <w:gridCol w:w="509"/>
        <w:gridCol w:w="951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Общие сведения об объекте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объекта:</w:t>
            </w:r>
          </w:p>
        </w:tc>
        <w:tc>
          <w:tcPr>
            <w:tcW w:w="2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 Волочаевского сельского поселения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2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ЕАО, Смидовичский р-н,                                с. Партизанское, ул. Партизанская ,1А</w:t>
            </w:r>
          </w:p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Ф.И.О., должность, телефон, факс должностного лица, ответственного за энергетическое хозяйство</w:t>
            </w:r>
          </w:p>
        </w:tc>
        <w:tc>
          <w:tcPr>
            <w:tcW w:w="27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Метелица Ольга Викторовна</w:t>
            </w:r>
          </w:p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Ведущий специалист  1  разряда </w:t>
            </w:r>
            <w:r>
              <w:fldChar w:fldCharType="begin"/>
            </w:r>
            <w:r>
              <w:instrText xml:space="preserve"> HYPERLINK "mailto:vsp_smid@post.eao.ru" </w:instrText>
            </w:r>
            <w:r>
              <w:fldChar w:fldCharType="separate"/>
            </w:r>
            <w:r>
              <w:rPr>
                <w:rStyle w:val="12"/>
                <w:bCs/>
                <w:sz w:val="28"/>
                <w:szCs w:val="28"/>
              </w:rPr>
              <w:t>v</w:t>
            </w:r>
            <w:r>
              <w:rPr>
                <w:rStyle w:val="12"/>
                <w:bCs/>
                <w:sz w:val="28"/>
                <w:szCs w:val="28"/>
                <w:lang w:val="en-US"/>
              </w:rPr>
              <w:t>s</w:t>
            </w:r>
            <w:r>
              <w:rPr>
                <w:rStyle w:val="12"/>
                <w:bCs/>
                <w:sz w:val="28"/>
                <w:szCs w:val="28"/>
              </w:rPr>
              <w:t>p_</w:t>
            </w:r>
            <w:r>
              <w:rPr>
                <w:rStyle w:val="12"/>
                <w:bCs/>
                <w:sz w:val="28"/>
                <w:szCs w:val="28"/>
                <w:lang w:val="en-US"/>
              </w:rPr>
              <w:t>smid</w:t>
            </w:r>
            <w:r>
              <w:rPr>
                <w:rStyle w:val="12"/>
                <w:bCs/>
                <w:sz w:val="28"/>
                <w:szCs w:val="28"/>
              </w:rPr>
              <w:t>@</w:t>
            </w:r>
            <w:r>
              <w:rPr>
                <w:rStyle w:val="12"/>
                <w:bCs/>
                <w:sz w:val="28"/>
                <w:szCs w:val="28"/>
                <w:lang w:val="en-US"/>
              </w:rPr>
              <w:t>post</w:t>
            </w:r>
            <w:r>
              <w:rPr>
                <w:rStyle w:val="12"/>
                <w:bCs/>
                <w:sz w:val="28"/>
                <w:szCs w:val="28"/>
              </w:rPr>
              <w:t>.</w:t>
            </w:r>
            <w:r>
              <w:rPr>
                <w:rStyle w:val="12"/>
                <w:bCs/>
                <w:sz w:val="28"/>
                <w:szCs w:val="28"/>
                <w:lang w:val="en-US"/>
              </w:rPr>
              <w:t>eao</w:t>
            </w:r>
            <w:r>
              <w:rPr>
                <w:rStyle w:val="12"/>
                <w:bCs/>
                <w:sz w:val="28"/>
                <w:szCs w:val="28"/>
              </w:rPr>
              <w:t>.ru</w:t>
            </w:r>
            <w:r>
              <w:rPr>
                <w:rStyle w:val="12"/>
                <w:bCs/>
                <w:sz w:val="28"/>
                <w:szCs w:val="28"/>
              </w:rPr>
              <w:fldChar w:fldCharType="end"/>
            </w:r>
            <w:r>
              <w:rPr>
                <w:bCs/>
                <w:color w:val="000000"/>
                <w:sz w:val="28"/>
                <w:szCs w:val="28"/>
              </w:rPr>
              <w:t xml:space="preserve">  (42632) 28 6 25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Основные технические характеристики объекта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Отапливаемая площадь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477,9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Фактическое число сотрудников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 отопления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Центральное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системы теплоснабжения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Открытая двухтрубная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световых точек в здании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световых точек наружного освещения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График финансирования мероприятий по энергосбережению на объекте, рублей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8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44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600" w:hRule="atLeast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мероприятия с указаением источника финансирования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</w:p>
        </w:tc>
        <w:tc>
          <w:tcPr>
            <w:tcW w:w="8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</w:p>
        </w:tc>
        <w:tc>
          <w:tcPr>
            <w:tcW w:w="7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Проведение промывки системы отопления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40000,0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40000,0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40000,0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окон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Проведение энергоаудита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ламп на светодиодные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Установка прибора учета теплоснабжения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дверей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Установка кондиционера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Замена прибора учета холодной воды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Бюджет субъекта федерации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Муниципальный бюджет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40000,0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40000,0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40000,0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Привлеченные инвестиции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Энергосервисный контракт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2" w:type="pct"/>
          <w:trHeight w:val="300" w:hRule="atLeast"/>
        </w:trPr>
        <w:tc>
          <w:tcPr>
            <w:tcW w:w="18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мероприятия по энергосбережению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40 000,0</w:t>
            </w: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40000,0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40000,0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right"/>
              <w:rPr>
                <w:bCs/>
                <w:color w:val="000000"/>
              </w:rPr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/>
    <w:p/>
    <w:p/>
    <w:p/>
    <w:p/>
    <w:p/>
    <w:p/>
    <w:p/>
    <w:sectPr>
      <w:pgSz w:w="11906" w:h="16838"/>
      <w:pgMar w:top="851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OEKGHE+OfficinaSerifWin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2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33BB9"/>
    <w:multiLevelType w:val="multilevel"/>
    <w:tmpl w:val="0EF33B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FC77DBC"/>
    <w:multiLevelType w:val="multilevel"/>
    <w:tmpl w:val="0FC77D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97C5D17"/>
    <w:multiLevelType w:val="multilevel"/>
    <w:tmpl w:val="497C5D17"/>
    <w:lvl w:ilvl="0" w:tentative="0">
      <w:start w:val="1"/>
      <w:numFmt w:val="bullet"/>
      <w:lvlText w:val=""/>
      <w:lvlJc w:val="left"/>
      <w:pPr>
        <w:tabs>
          <w:tab w:val="left" w:pos="574"/>
        </w:tabs>
        <w:ind w:left="5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031"/>
        </w:tabs>
        <w:ind w:left="203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751"/>
        </w:tabs>
        <w:ind w:left="275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71"/>
        </w:tabs>
        <w:ind w:left="347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91"/>
        </w:tabs>
        <w:ind w:left="419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911"/>
        </w:tabs>
        <w:ind w:left="491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631"/>
        </w:tabs>
        <w:ind w:left="563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51"/>
        </w:tabs>
        <w:ind w:left="635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071"/>
        </w:tabs>
        <w:ind w:left="7071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E9"/>
    <w:rsid w:val="00003318"/>
    <w:rsid w:val="0006284B"/>
    <w:rsid w:val="00073ED6"/>
    <w:rsid w:val="00126A7C"/>
    <w:rsid w:val="00181BC7"/>
    <w:rsid w:val="001D5DE4"/>
    <w:rsid w:val="001F2091"/>
    <w:rsid w:val="00226D4D"/>
    <w:rsid w:val="00267F9B"/>
    <w:rsid w:val="00275A09"/>
    <w:rsid w:val="00281C59"/>
    <w:rsid w:val="002822CD"/>
    <w:rsid w:val="003677C5"/>
    <w:rsid w:val="00460A7E"/>
    <w:rsid w:val="004A2EED"/>
    <w:rsid w:val="005209DF"/>
    <w:rsid w:val="00522C89"/>
    <w:rsid w:val="00591562"/>
    <w:rsid w:val="0059260D"/>
    <w:rsid w:val="005D0653"/>
    <w:rsid w:val="006039D1"/>
    <w:rsid w:val="006F2DEF"/>
    <w:rsid w:val="00763D52"/>
    <w:rsid w:val="007E408F"/>
    <w:rsid w:val="007F0DE9"/>
    <w:rsid w:val="00814843"/>
    <w:rsid w:val="008434DA"/>
    <w:rsid w:val="008514B1"/>
    <w:rsid w:val="00880B79"/>
    <w:rsid w:val="008B498C"/>
    <w:rsid w:val="008C1939"/>
    <w:rsid w:val="008C3823"/>
    <w:rsid w:val="008D7BE7"/>
    <w:rsid w:val="00A222FB"/>
    <w:rsid w:val="00A465E9"/>
    <w:rsid w:val="00AB5D12"/>
    <w:rsid w:val="00AB7DC5"/>
    <w:rsid w:val="00AE642D"/>
    <w:rsid w:val="00B06EB3"/>
    <w:rsid w:val="00B10113"/>
    <w:rsid w:val="00B555E8"/>
    <w:rsid w:val="00BF1924"/>
    <w:rsid w:val="00C13EC4"/>
    <w:rsid w:val="00C14645"/>
    <w:rsid w:val="00C52190"/>
    <w:rsid w:val="00CD3E58"/>
    <w:rsid w:val="00CE6277"/>
    <w:rsid w:val="00D0426F"/>
    <w:rsid w:val="00D1446D"/>
    <w:rsid w:val="00D91014"/>
    <w:rsid w:val="00D95754"/>
    <w:rsid w:val="00E110E3"/>
    <w:rsid w:val="00E465C9"/>
    <w:rsid w:val="00FA1D54"/>
    <w:rsid w:val="1FC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2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3"/>
    <w:qFormat/>
    <w:uiPriority w:val="0"/>
    <w:pPr>
      <w:keepNext/>
      <w:ind w:left="6300"/>
      <w:jc w:val="both"/>
      <w:outlineLvl w:val="2"/>
    </w:pPr>
    <w:rPr>
      <w:sz w:val="28"/>
      <w:szCs w:val="28"/>
    </w:rPr>
  </w:style>
  <w:style w:type="paragraph" w:styleId="5">
    <w:name w:val="heading 4"/>
    <w:basedOn w:val="1"/>
    <w:next w:val="1"/>
    <w:link w:val="34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5"/>
    <w:qFormat/>
    <w:uiPriority w:val="0"/>
    <w:pPr>
      <w:keepNext/>
      <w:jc w:val="right"/>
      <w:outlineLvl w:val="4"/>
    </w:pPr>
    <w:rPr>
      <w:b/>
      <w:sz w:val="28"/>
    </w:rPr>
  </w:style>
  <w:style w:type="paragraph" w:styleId="7">
    <w:name w:val="heading 6"/>
    <w:basedOn w:val="1"/>
    <w:next w:val="1"/>
    <w:link w:val="36"/>
    <w:qFormat/>
    <w:uiPriority w:val="0"/>
    <w:pPr>
      <w:keepNext/>
      <w:jc w:val="both"/>
      <w:outlineLvl w:val="5"/>
    </w:pPr>
    <w:rPr>
      <w:sz w:val="28"/>
      <w:szCs w:val="28"/>
    </w:rPr>
  </w:style>
  <w:style w:type="paragraph" w:styleId="8">
    <w:name w:val="heading 7"/>
    <w:basedOn w:val="1"/>
    <w:next w:val="1"/>
    <w:link w:val="37"/>
    <w:qFormat/>
    <w:uiPriority w:val="0"/>
    <w:pPr>
      <w:keepNext/>
      <w:outlineLvl w:val="6"/>
    </w:pPr>
    <w:rPr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9"/>
    <w:uiPriority w:val="0"/>
    <w:rPr>
      <w:sz w:val="16"/>
      <w:szCs w:val="16"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page number"/>
    <w:basedOn w:val="9"/>
    <w:uiPriority w:val="0"/>
  </w:style>
  <w:style w:type="character" w:styleId="14">
    <w:name w:val="Strong"/>
    <w:qFormat/>
    <w:uiPriority w:val="0"/>
    <w:rPr>
      <w:b/>
      <w:bCs/>
    </w:rPr>
  </w:style>
  <w:style w:type="paragraph" w:styleId="15">
    <w:name w:val="Balloon Text"/>
    <w:basedOn w:val="1"/>
    <w:link w:val="54"/>
    <w:semiHidden/>
    <w:uiPriority w:val="0"/>
    <w:rPr>
      <w:rFonts w:ascii="Tahoma" w:hAnsi="Tahoma" w:eastAsiaTheme="minorHAnsi" w:cstheme="minorBidi"/>
      <w:sz w:val="16"/>
      <w:szCs w:val="16"/>
    </w:rPr>
  </w:style>
  <w:style w:type="paragraph" w:styleId="16">
    <w:name w:val="Body Text 2"/>
    <w:basedOn w:val="1"/>
    <w:link w:val="46"/>
    <w:uiPriority w:val="0"/>
    <w:pPr>
      <w:spacing w:after="120" w:line="480" w:lineRule="auto"/>
    </w:pPr>
  </w:style>
  <w:style w:type="paragraph" w:styleId="17">
    <w:name w:val="Body Text Indent 3"/>
    <w:basedOn w:val="1"/>
    <w:link w:val="47"/>
    <w:uiPriority w:val="0"/>
    <w:pPr>
      <w:spacing w:after="120"/>
      <w:ind w:left="283"/>
    </w:pPr>
    <w:rPr>
      <w:sz w:val="16"/>
      <w:szCs w:val="16"/>
    </w:rPr>
  </w:style>
  <w:style w:type="paragraph" w:styleId="18">
    <w:name w:val="annotation text"/>
    <w:basedOn w:val="1"/>
    <w:link w:val="63"/>
    <w:uiPriority w:val="0"/>
    <w:rPr>
      <w:sz w:val="20"/>
      <w:szCs w:val="20"/>
    </w:rPr>
  </w:style>
  <w:style w:type="paragraph" w:styleId="19">
    <w:name w:val="annotation subject"/>
    <w:basedOn w:val="18"/>
    <w:next w:val="18"/>
    <w:link w:val="64"/>
    <w:qFormat/>
    <w:uiPriority w:val="0"/>
    <w:rPr>
      <w:b/>
      <w:bCs/>
    </w:rPr>
  </w:style>
  <w:style w:type="paragraph" w:styleId="20">
    <w:name w:val="footnote text"/>
    <w:basedOn w:val="1"/>
    <w:link w:val="44"/>
    <w:semiHidden/>
    <w:uiPriority w:val="0"/>
    <w:rPr>
      <w:sz w:val="20"/>
      <w:szCs w:val="20"/>
    </w:rPr>
  </w:style>
  <w:style w:type="paragraph" w:styleId="21">
    <w:name w:val="header"/>
    <w:basedOn w:val="1"/>
    <w:link w:val="50"/>
    <w:uiPriority w:val="0"/>
    <w:pPr>
      <w:tabs>
        <w:tab w:val="center" w:pos="4677"/>
        <w:tab w:val="right" w:pos="9355"/>
      </w:tabs>
    </w:pPr>
  </w:style>
  <w:style w:type="paragraph" w:styleId="22">
    <w:name w:val="Body Text"/>
    <w:basedOn w:val="1"/>
    <w:link w:val="51"/>
    <w:uiPriority w:val="0"/>
    <w:pPr>
      <w:spacing w:after="120"/>
    </w:pPr>
  </w:style>
  <w:style w:type="paragraph" w:styleId="23">
    <w:name w:val="toc 2"/>
    <w:basedOn w:val="1"/>
    <w:next w:val="1"/>
    <w:qFormat/>
    <w:uiPriority w:val="0"/>
    <w:pPr>
      <w:ind w:left="240"/>
    </w:pPr>
  </w:style>
  <w:style w:type="paragraph" w:styleId="24">
    <w:name w:val="Body Text Indent"/>
    <w:basedOn w:val="1"/>
    <w:link w:val="41"/>
    <w:qFormat/>
    <w:uiPriority w:val="0"/>
    <w:pPr>
      <w:spacing w:after="120"/>
      <w:ind w:left="283"/>
    </w:pPr>
  </w:style>
  <w:style w:type="paragraph" w:styleId="25">
    <w:name w:val="footer"/>
    <w:basedOn w:val="1"/>
    <w:link w:val="56"/>
    <w:uiPriority w:val="0"/>
    <w:pPr>
      <w:tabs>
        <w:tab w:val="center" w:pos="4677"/>
        <w:tab w:val="right" w:pos="9355"/>
      </w:tabs>
    </w:p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27">
    <w:name w:val="Body Text 3"/>
    <w:basedOn w:val="1"/>
    <w:link w:val="52"/>
    <w:uiPriority w:val="0"/>
    <w:pPr>
      <w:jc w:val="center"/>
    </w:pPr>
    <w:rPr>
      <w:b/>
      <w:sz w:val="28"/>
    </w:rPr>
  </w:style>
  <w:style w:type="paragraph" w:styleId="28">
    <w:name w:val="Body Text Indent 2"/>
    <w:basedOn w:val="1"/>
    <w:link w:val="40"/>
    <w:qFormat/>
    <w:uiPriority w:val="0"/>
    <w:pPr>
      <w:ind w:firstLine="708"/>
      <w:jc w:val="both"/>
    </w:pPr>
    <w:rPr>
      <w:sz w:val="28"/>
      <w:szCs w:val="20"/>
    </w:rPr>
  </w:style>
  <w:style w:type="paragraph" w:styleId="29">
    <w:name w:val="HTML Preformatted"/>
    <w:basedOn w:val="1"/>
    <w:link w:val="3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30">
    <w:name w:val="Table Grid"/>
    <w:basedOn w:val="10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Заголовок 1 Знак"/>
    <w:basedOn w:val="9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32">
    <w:name w:val="Заголовок 2 Знак"/>
    <w:basedOn w:val="9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33">
    <w:name w:val="Заголовок 3 Знак"/>
    <w:basedOn w:val="9"/>
    <w:link w:val="4"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34">
    <w:name w:val="Заголовок 4 Знак"/>
    <w:basedOn w:val="9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5 Знак"/>
    <w:basedOn w:val="9"/>
    <w:link w:val="6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36">
    <w:name w:val="Заголовок 6 Знак"/>
    <w:basedOn w:val="9"/>
    <w:link w:val="7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37">
    <w:name w:val="Заголовок 7 Знак"/>
    <w:basedOn w:val="9"/>
    <w:link w:val="8"/>
    <w:qFormat/>
    <w:uiPriority w:val="0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customStyle="1" w:styleId="38">
    <w:name w:val="Стандартный HTML Знак"/>
    <w:basedOn w:val="9"/>
    <w:link w:val="29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39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0">
    <w:name w:val="Основной текст с отступом 2 Знак"/>
    <w:basedOn w:val="9"/>
    <w:link w:val="2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1">
    <w:name w:val="Основной текст с отступом Знак"/>
    <w:basedOn w:val="9"/>
    <w:link w:val="24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2">
    <w:name w:val="ConsPlusNormal"/>
    <w:link w:val="66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3">
    <w:name w:val="Цветовое выделение"/>
    <w:uiPriority w:val="0"/>
    <w:rPr>
      <w:b/>
      <w:bCs/>
      <w:color w:val="000080"/>
      <w:sz w:val="20"/>
      <w:szCs w:val="20"/>
    </w:rPr>
  </w:style>
  <w:style w:type="character" w:customStyle="1" w:styleId="44">
    <w:name w:val="Текст сноски Знак"/>
    <w:basedOn w:val="9"/>
    <w:link w:val="20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5">
    <w:name w:val="Заголовок статьи"/>
    <w:basedOn w:val="1"/>
    <w:next w:val="1"/>
    <w:uiPriority w:val="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46">
    <w:name w:val="Основной текст 2 Знак"/>
    <w:basedOn w:val="9"/>
    <w:link w:val="16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7">
    <w:name w:val="Основной текст с отступом 3 Знак"/>
    <w:basedOn w:val="9"/>
    <w:link w:val="17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48">
    <w:name w:val="Default"/>
    <w:uiPriority w:val="0"/>
    <w:pPr>
      <w:widowControl w:val="0"/>
      <w:suppressAutoHyphens/>
      <w:autoSpaceDE w:val="0"/>
      <w:spacing w:after="0" w:line="240" w:lineRule="auto"/>
    </w:pPr>
    <w:rPr>
      <w:rFonts w:ascii="OEKGHE+OfficinaSerifWinC" w:hAnsi="OEKGHE+OfficinaSerifWinC" w:eastAsia="Times New Roman" w:cs="OEKGHE+OfficinaSerifWinC"/>
      <w:color w:val="000000"/>
      <w:sz w:val="24"/>
      <w:szCs w:val="24"/>
      <w:lang w:val="ru-RU" w:eastAsia="ar-SA" w:bidi="ar-SA"/>
    </w:rPr>
  </w:style>
  <w:style w:type="paragraph" w:customStyle="1" w:styleId="49">
    <w:name w:val="Основной текст 21"/>
    <w:basedOn w:val="1"/>
    <w:uiPriority w:val="0"/>
    <w:pPr>
      <w:suppressAutoHyphens/>
      <w:jc w:val="both"/>
    </w:pPr>
    <w:rPr>
      <w:sz w:val="28"/>
      <w:szCs w:val="20"/>
      <w:lang w:eastAsia="ar-SA"/>
    </w:rPr>
  </w:style>
  <w:style w:type="character" w:customStyle="1" w:styleId="50">
    <w:name w:val="Верхний колонтитул Знак"/>
    <w:basedOn w:val="9"/>
    <w:link w:val="21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Основной текст Знак"/>
    <w:basedOn w:val="9"/>
    <w:link w:val="22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Основной текст 3 Знак"/>
    <w:basedOn w:val="9"/>
    <w:link w:val="27"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customStyle="1" w:styleId="53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Times New Roman"/>
      <w:b/>
      <w:sz w:val="20"/>
      <w:szCs w:val="20"/>
      <w:lang w:val="ru-RU" w:eastAsia="ru-RU" w:bidi="ar-SA"/>
    </w:rPr>
  </w:style>
  <w:style w:type="character" w:customStyle="1" w:styleId="54">
    <w:name w:val="Текст выноски Знак"/>
    <w:link w:val="15"/>
    <w:semiHidden/>
    <w:uiPriority w:val="0"/>
    <w:rPr>
      <w:rFonts w:ascii="Tahoma" w:hAnsi="Tahoma"/>
      <w:sz w:val="16"/>
      <w:szCs w:val="16"/>
      <w:lang w:eastAsia="ru-RU"/>
    </w:rPr>
  </w:style>
  <w:style w:type="character" w:customStyle="1" w:styleId="55">
    <w:name w:val="Текст выноски Знак1"/>
    <w:basedOn w:val="9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56">
    <w:name w:val="Нижний колонтитул Знак"/>
    <w:basedOn w:val="9"/>
    <w:link w:val="25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7">
    <w:name w:val="Знак10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58">
    <w:name w:val="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9">
    <w:name w:val="Body Text Keep"/>
    <w:basedOn w:val="22"/>
    <w:link w:val="60"/>
    <w:uiPriority w:val="0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60">
    <w:name w:val="Body Text Keep Char"/>
    <w:link w:val="59"/>
    <w:qFormat/>
    <w:locked/>
    <w:uiPriority w:val="0"/>
    <w:rPr>
      <w:rFonts w:ascii="Times New Roman" w:hAnsi="Times New Roman" w:eastAsia="Times New Roman" w:cs="Times New Roman"/>
      <w:spacing w:val="-5"/>
      <w:sz w:val="24"/>
      <w:szCs w:val="24"/>
    </w:rPr>
  </w:style>
  <w:style w:type="paragraph" w:customStyle="1" w:styleId="61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62">
    <w:name w:val="ConsNormal"/>
    <w:uiPriority w:val="0"/>
    <w:pPr>
      <w:widowControl w:val="0"/>
      <w:spacing w:after="0" w:line="240" w:lineRule="auto"/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63">
    <w:name w:val="Текст примечания Знак"/>
    <w:basedOn w:val="9"/>
    <w:link w:val="1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64">
    <w:name w:val="Тема примечания Знак"/>
    <w:basedOn w:val="63"/>
    <w:link w:val="19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65">
    <w:name w:val="apple-converted-space"/>
    <w:basedOn w:val="9"/>
    <w:uiPriority w:val="0"/>
  </w:style>
  <w:style w:type="character" w:customStyle="1" w:styleId="66">
    <w:name w:val="ConsPlusNormal Знак"/>
    <w:link w:val="42"/>
    <w:locked/>
    <w:uiPriority w:val="0"/>
    <w:rPr>
      <w:rFonts w:ascii="Arial" w:hAnsi="Arial" w:eastAsia="Times New Roman" w:cs="Arial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A87F-82FD-44D1-8EE6-059DA7336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6074</Words>
  <Characters>34623</Characters>
  <Lines>288</Lines>
  <Paragraphs>81</Paragraphs>
  <TotalTime>33</TotalTime>
  <ScaleCrop>false</ScaleCrop>
  <LinksUpToDate>false</LinksUpToDate>
  <CharactersWithSpaces>40616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2021-06-11T00:23:00Z</dcterms:created>
  <dc:creator>OlgaV</dc:creator>
  <cp:lastModifiedBy>admin</cp:lastModifiedBy>
  <cp:lastPrinted>2023-11-01T05:32:35Z</cp:lastPrinted>
  <dcterms:modified xsi:type="dcterms:W3CDTF">2023-11-01T05:32:41Z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8EE013F02E5E4121B9AA6A2AAD6D8C33_12</vt:lpwstr>
  </property>
</Properties>
</file>