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E2" w:rsidRPr="00680E61" w:rsidRDefault="00B619E2" w:rsidP="00BD27FA">
      <w:pPr>
        <w:spacing w:after="0" w:line="240" w:lineRule="auto"/>
        <w:jc w:val="center"/>
        <w:rPr>
          <w:rFonts w:ascii="Times New Roman" w:hAnsi="Times New Roman"/>
        </w:rPr>
      </w:pPr>
      <w:r w:rsidRPr="00680E61"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B619E2" w:rsidRDefault="00B619E2" w:rsidP="00BD27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19E2" w:rsidRPr="00680E61" w:rsidRDefault="00B619E2" w:rsidP="00B61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E61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B619E2" w:rsidRPr="00680E61" w:rsidRDefault="00B619E2" w:rsidP="00B61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E2" w:rsidRPr="00680E61" w:rsidRDefault="00B619E2" w:rsidP="00B61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E61">
        <w:rPr>
          <w:rFonts w:ascii="Times New Roman" w:hAnsi="Times New Roman"/>
          <w:sz w:val="28"/>
          <w:szCs w:val="28"/>
        </w:rPr>
        <w:t>ПОСТАНОВЛЕНИЕ</w:t>
      </w:r>
    </w:p>
    <w:p w:rsidR="00B619E2" w:rsidRPr="00680E61" w:rsidRDefault="00B619E2" w:rsidP="00B61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19E2" w:rsidRPr="00680E61" w:rsidRDefault="00B619E2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9E2" w:rsidRPr="00680E61" w:rsidRDefault="00BD27FA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13.09.</w:t>
      </w:r>
      <w:r w:rsidR="00B619E2">
        <w:rPr>
          <w:rFonts w:ascii="Times New Roman" w:hAnsi="Times New Roman"/>
          <w:sz w:val="28"/>
          <w:szCs w:val="28"/>
        </w:rPr>
        <w:t>2022</w:t>
      </w:r>
      <w:r w:rsidR="00B619E2" w:rsidRPr="00680E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153</w:t>
      </w:r>
    </w:p>
    <w:p w:rsidR="00B619E2" w:rsidRPr="00680E61" w:rsidRDefault="00B619E2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9E2" w:rsidRPr="00680E61" w:rsidRDefault="00B619E2" w:rsidP="00B61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E61">
        <w:rPr>
          <w:rFonts w:ascii="Times New Roman" w:hAnsi="Times New Roman"/>
          <w:sz w:val="28"/>
          <w:szCs w:val="28"/>
        </w:rPr>
        <w:t xml:space="preserve">с. Партизанское </w:t>
      </w:r>
    </w:p>
    <w:p w:rsidR="00B619E2" w:rsidRDefault="00B619E2" w:rsidP="00B619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D27FA" w:rsidRPr="00680E61" w:rsidRDefault="00BD27FA" w:rsidP="00B619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619E2" w:rsidRPr="00680E61" w:rsidRDefault="00B619E2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E61">
        <w:rPr>
          <w:rFonts w:ascii="Times New Roman" w:hAnsi="Times New Roman"/>
          <w:sz w:val="28"/>
          <w:szCs w:val="28"/>
        </w:rPr>
        <w:t>Об утвер</w:t>
      </w:r>
      <w:r>
        <w:rPr>
          <w:rFonts w:ascii="Times New Roman" w:hAnsi="Times New Roman"/>
          <w:sz w:val="28"/>
          <w:szCs w:val="28"/>
        </w:rPr>
        <w:t xml:space="preserve">ждении муниципальной целевой программы </w:t>
      </w:r>
      <w:r w:rsidRPr="005561AE">
        <w:rPr>
          <w:rFonts w:ascii="Times New Roman" w:hAnsi="Times New Roman"/>
          <w:sz w:val="28"/>
          <w:szCs w:val="28"/>
        </w:rPr>
        <w:t xml:space="preserve">по обеспечению первичных мер пожарной </w:t>
      </w:r>
      <w:r w:rsidR="00BD27FA" w:rsidRPr="005561AE">
        <w:rPr>
          <w:rFonts w:ascii="Times New Roman" w:hAnsi="Times New Roman"/>
          <w:sz w:val="28"/>
          <w:szCs w:val="28"/>
        </w:rPr>
        <w:t>безопасности на территории</w:t>
      </w:r>
      <w:r w:rsidRPr="00556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BD27FA">
        <w:rPr>
          <w:rFonts w:ascii="Times New Roman" w:hAnsi="Times New Roman"/>
          <w:sz w:val="28"/>
          <w:szCs w:val="28"/>
        </w:rPr>
        <w:t>образования</w:t>
      </w:r>
      <w:r w:rsidR="00BD27FA" w:rsidRPr="00C426FE">
        <w:rPr>
          <w:rFonts w:ascii="Times New Roman" w:hAnsi="Times New Roman"/>
          <w:sz w:val="28"/>
          <w:szCs w:val="28"/>
        </w:rPr>
        <w:t xml:space="preserve"> </w:t>
      </w:r>
      <w:r w:rsidR="00BD27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Волочаевское сельское поселение</w:t>
      </w:r>
      <w:r w:rsidRPr="00C426FE">
        <w:rPr>
          <w:rFonts w:ascii="Times New Roman" w:hAnsi="Times New Roman"/>
          <w:sz w:val="28"/>
          <w:szCs w:val="28"/>
        </w:rPr>
        <w:t xml:space="preserve">» </w:t>
      </w:r>
      <w:r w:rsidR="00BD27FA">
        <w:rPr>
          <w:rFonts w:ascii="Times New Roman" w:hAnsi="Times New Roman"/>
          <w:sz w:val="28"/>
          <w:szCs w:val="28"/>
        </w:rPr>
        <w:t>Смидовичского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Еврейской автономной области на 2023 – 2025 годы</w:t>
      </w:r>
    </w:p>
    <w:p w:rsidR="00B619E2" w:rsidRDefault="00B619E2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7FA" w:rsidRPr="00680E61" w:rsidRDefault="00BD27FA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9E2" w:rsidRPr="00680E61" w:rsidRDefault="00B619E2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E61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5561A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561AE">
        <w:rPr>
          <w:rFonts w:ascii="Times New Roman" w:hAnsi="Times New Roman"/>
          <w:sz w:val="28"/>
          <w:szCs w:val="28"/>
        </w:rPr>
        <w:t xml:space="preserve"> от 21.12.1994 № 6</w:t>
      </w:r>
      <w:r>
        <w:rPr>
          <w:rFonts w:ascii="Times New Roman" w:hAnsi="Times New Roman"/>
          <w:sz w:val="28"/>
          <w:szCs w:val="28"/>
        </w:rPr>
        <w:t xml:space="preserve">9-ФЗ «О пожарной безопасности», </w:t>
      </w:r>
      <w:r w:rsidRPr="005561AE">
        <w:rPr>
          <w:rFonts w:ascii="Times New Roman" w:hAnsi="Times New Roman"/>
          <w:sz w:val="28"/>
          <w:szCs w:val="28"/>
        </w:rPr>
        <w:t>Федерал</w:t>
      </w:r>
      <w:r>
        <w:rPr>
          <w:rFonts w:ascii="Times New Roman" w:hAnsi="Times New Roman"/>
          <w:sz w:val="28"/>
          <w:szCs w:val="28"/>
        </w:rPr>
        <w:t>ьным</w:t>
      </w:r>
      <w:r w:rsidRPr="005561A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561AE">
        <w:rPr>
          <w:rFonts w:ascii="Times New Roman" w:hAnsi="Times New Roman"/>
          <w:sz w:val="28"/>
          <w:szCs w:val="28"/>
        </w:rPr>
        <w:t xml:space="preserve"> от 22.07.2008 № 123-ФЗ «Технический регламент о тре</w:t>
      </w:r>
      <w:r>
        <w:rPr>
          <w:rFonts w:ascii="Times New Roman" w:hAnsi="Times New Roman"/>
          <w:sz w:val="28"/>
          <w:szCs w:val="28"/>
        </w:rPr>
        <w:t>бованиях пожарной безопасности»,</w:t>
      </w:r>
      <w:r w:rsidRPr="00680E61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</w:p>
    <w:p w:rsidR="00B619E2" w:rsidRPr="00680E61" w:rsidRDefault="00B619E2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E61">
        <w:rPr>
          <w:rFonts w:ascii="Times New Roman" w:hAnsi="Times New Roman"/>
          <w:sz w:val="28"/>
          <w:szCs w:val="28"/>
        </w:rPr>
        <w:t>ПОСТАНОВЛЯЕТ:</w:t>
      </w:r>
    </w:p>
    <w:p w:rsidR="00B619E2" w:rsidRDefault="00B619E2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E61">
        <w:rPr>
          <w:rFonts w:ascii="Times New Roman" w:hAnsi="Times New Roman"/>
          <w:sz w:val="28"/>
          <w:szCs w:val="28"/>
        </w:rPr>
        <w:tab/>
        <w:t>1. Утвердить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BD27FA">
        <w:rPr>
          <w:rFonts w:ascii="Times New Roman" w:hAnsi="Times New Roman"/>
          <w:sz w:val="28"/>
          <w:szCs w:val="28"/>
        </w:rPr>
        <w:t xml:space="preserve">целевую </w:t>
      </w:r>
      <w:r w:rsidR="00BD27FA" w:rsidRPr="00680E61">
        <w:rPr>
          <w:rFonts w:ascii="Times New Roman" w:hAnsi="Times New Roman"/>
          <w:sz w:val="28"/>
          <w:szCs w:val="28"/>
        </w:rPr>
        <w:t>программу</w:t>
      </w:r>
      <w:r w:rsidRPr="00680E61">
        <w:rPr>
          <w:rFonts w:ascii="Times New Roman" w:hAnsi="Times New Roman"/>
          <w:sz w:val="28"/>
          <w:szCs w:val="28"/>
        </w:rPr>
        <w:t xml:space="preserve"> </w:t>
      </w:r>
      <w:r w:rsidRPr="005561AE">
        <w:rPr>
          <w:rFonts w:ascii="Times New Roman" w:hAnsi="Times New Roman"/>
          <w:sz w:val="28"/>
          <w:szCs w:val="28"/>
        </w:rPr>
        <w:t xml:space="preserve">по обеспечению первичных мер пожарной </w:t>
      </w:r>
      <w:r w:rsidR="00BD27FA" w:rsidRPr="005561AE">
        <w:rPr>
          <w:rFonts w:ascii="Times New Roman" w:hAnsi="Times New Roman"/>
          <w:sz w:val="28"/>
          <w:szCs w:val="28"/>
        </w:rPr>
        <w:t>безопасности на</w:t>
      </w:r>
      <w:r w:rsidR="00BD27FA">
        <w:rPr>
          <w:rFonts w:ascii="Times New Roman" w:hAnsi="Times New Roman"/>
          <w:sz w:val="28"/>
          <w:szCs w:val="28"/>
        </w:rPr>
        <w:t xml:space="preserve"> </w:t>
      </w:r>
      <w:r w:rsidRPr="005561AE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«Волочаевское сельское поселение</w:t>
      </w:r>
      <w:r w:rsidRPr="00C426FE"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Смидовичского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Евре</w:t>
      </w:r>
      <w:r w:rsidR="00BD27FA">
        <w:rPr>
          <w:rFonts w:ascii="Times New Roman" w:hAnsi="Times New Roman"/>
          <w:sz w:val="28"/>
          <w:szCs w:val="28"/>
        </w:rPr>
        <w:t>йской автономной области на 2023 – 2025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BD27FA" w:rsidRDefault="00BD27FA" w:rsidP="00BD27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80E6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Волочаевского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619E2" w:rsidRPr="00680E61" w:rsidRDefault="00B619E2" w:rsidP="00BD27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0E61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Волочаевского сельского поселения. </w:t>
      </w:r>
    </w:p>
    <w:p w:rsidR="00B619E2" w:rsidRPr="00680E61" w:rsidRDefault="00BD27FA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B619E2" w:rsidRPr="00680E61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B619E2" w:rsidRPr="00680E61" w:rsidRDefault="00B619E2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7FA" w:rsidRDefault="00B619E2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E61">
        <w:rPr>
          <w:rFonts w:ascii="Times New Roman" w:hAnsi="Times New Roman"/>
          <w:sz w:val="28"/>
          <w:szCs w:val="28"/>
        </w:rPr>
        <w:t xml:space="preserve">Глава </w:t>
      </w:r>
      <w:r w:rsidR="00BD27FA">
        <w:rPr>
          <w:rFonts w:ascii="Times New Roman" w:hAnsi="Times New Roman"/>
          <w:sz w:val="28"/>
          <w:szCs w:val="28"/>
        </w:rPr>
        <w:t>администрации</w:t>
      </w:r>
    </w:p>
    <w:p w:rsidR="00B619E2" w:rsidRPr="00680E61" w:rsidRDefault="00B619E2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E6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BD27FA">
        <w:rPr>
          <w:rFonts w:ascii="Times New Roman" w:hAnsi="Times New Roman"/>
          <w:sz w:val="28"/>
          <w:szCs w:val="28"/>
        </w:rPr>
        <w:t xml:space="preserve">                    </w:t>
      </w:r>
      <w:r w:rsidRPr="00680E61">
        <w:rPr>
          <w:rFonts w:ascii="Times New Roman" w:hAnsi="Times New Roman"/>
          <w:sz w:val="28"/>
          <w:szCs w:val="28"/>
        </w:rPr>
        <w:t>Л.В. Марцева</w:t>
      </w:r>
    </w:p>
    <w:p w:rsidR="00B619E2" w:rsidRPr="00680E61" w:rsidRDefault="00B619E2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9E2" w:rsidRDefault="00B619E2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7FA" w:rsidRDefault="00BD27FA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7FA" w:rsidRPr="00680E61" w:rsidRDefault="00BD27FA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19E2" w:rsidTr="00B82A3E">
        <w:tc>
          <w:tcPr>
            <w:tcW w:w="4785" w:type="dxa"/>
          </w:tcPr>
          <w:p w:rsidR="00B619E2" w:rsidRDefault="00B619E2" w:rsidP="00B82A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19E2" w:rsidRDefault="00B619E2" w:rsidP="00B82A3E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619E2" w:rsidRPr="001C6E95" w:rsidRDefault="00B619E2" w:rsidP="00B82A3E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 w:rsidRPr="001C6E95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B619E2" w:rsidRDefault="00B619E2" w:rsidP="00B82A3E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 w:rsidRPr="001C6E9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B619E2" w:rsidRDefault="00B619E2" w:rsidP="00BD27FA">
            <w:pPr>
              <w:rPr>
                <w:rFonts w:ascii="Times New Roman" w:hAnsi="Times New Roman"/>
                <w:sz w:val="28"/>
                <w:szCs w:val="28"/>
              </w:rPr>
            </w:pPr>
            <w:r w:rsidRPr="001C6E95"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от </w:t>
            </w:r>
            <w:r w:rsidR="00BD27FA">
              <w:rPr>
                <w:rFonts w:ascii="Times New Roman" w:hAnsi="Times New Roman"/>
                <w:sz w:val="28"/>
                <w:szCs w:val="28"/>
              </w:rPr>
              <w:t xml:space="preserve">13.09.2022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D27FA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</w:tbl>
    <w:p w:rsidR="00B619E2" w:rsidRDefault="00B619E2" w:rsidP="00B619E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619E2" w:rsidRPr="00C426FE" w:rsidRDefault="00B619E2" w:rsidP="00B619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6FE">
        <w:rPr>
          <w:rFonts w:ascii="Times New Roman" w:hAnsi="Times New Roman"/>
          <w:b/>
          <w:sz w:val="28"/>
          <w:szCs w:val="28"/>
        </w:rPr>
        <w:t xml:space="preserve">Муниципальная целевая программа </w:t>
      </w:r>
    </w:p>
    <w:p w:rsidR="00B619E2" w:rsidRPr="00C426FE" w:rsidRDefault="00B619E2" w:rsidP="00B619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по обеспечению первичных мер пожарной безопасности 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«Волочаевское сельское поселение</w:t>
      </w:r>
      <w:r w:rsidRPr="00C426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Смидовичского муниципального района Еврейской автономной области на 2023 – 2025</w:t>
      </w:r>
      <w:r w:rsidRPr="00C426FE">
        <w:rPr>
          <w:rFonts w:ascii="Times New Roman" w:hAnsi="Times New Roman"/>
          <w:sz w:val="28"/>
          <w:szCs w:val="28"/>
        </w:rPr>
        <w:t xml:space="preserve"> годы.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486"/>
      </w:tblGrid>
      <w:tr w:rsidR="00B619E2" w:rsidRPr="005561AE" w:rsidTr="00B82A3E">
        <w:tc>
          <w:tcPr>
            <w:tcW w:w="3085" w:type="dxa"/>
          </w:tcPr>
          <w:p w:rsidR="00B619E2" w:rsidRPr="005561AE" w:rsidRDefault="00B619E2" w:rsidP="00B82A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1.1.Наименование программы</w:t>
            </w:r>
          </w:p>
        </w:tc>
        <w:tc>
          <w:tcPr>
            <w:tcW w:w="6486" w:type="dxa"/>
          </w:tcPr>
          <w:p w:rsidR="00B619E2" w:rsidRPr="005561AE" w:rsidRDefault="00B619E2" w:rsidP="00B82A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по обеспечению первичных мер пожарной безопасности  на 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«Волочаевское сельское поселение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Смидовичского  муниципального района Еврейской автономной области на 2023 – 2025 годы (далее – П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>рограмма)</w:t>
            </w:r>
          </w:p>
        </w:tc>
      </w:tr>
      <w:tr w:rsidR="00B619E2" w:rsidRPr="005561AE" w:rsidTr="00B82A3E">
        <w:tc>
          <w:tcPr>
            <w:tcW w:w="3085" w:type="dxa"/>
          </w:tcPr>
          <w:p w:rsidR="00B619E2" w:rsidRPr="00C426FE" w:rsidRDefault="00B619E2" w:rsidP="00B82A3E">
            <w:pPr>
              <w:pStyle w:val="1"/>
              <w:spacing w:after="0" w:line="240" w:lineRule="auto"/>
              <w:ind w:left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426FE">
              <w:rPr>
                <w:rFonts w:ascii="Times New Roman" w:cs="Times New Roman"/>
                <w:sz w:val="28"/>
                <w:szCs w:val="28"/>
              </w:rPr>
              <w:t>1.2.Условное (краткое) наименование</w:t>
            </w:r>
          </w:p>
        </w:tc>
        <w:tc>
          <w:tcPr>
            <w:tcW w:w="6486" w:type="dxa"/>
          </w:tcPr>
          <w:p w:rsidR="00B619E2" w:rsidRPr="005561AE" w:rsidRDefault="00B619E2" w:rsidP="00B82A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Программа пожарной безопасности</w:t>
            </w:r>
          </w:p>
        </w:tc>
      </w:tr>
      <w:tr w:rsidR="00B619E2" w:rsidRPr="005561AE" w:rsidTr="00B82A3E">
        <w:tc>
          <w:tcPr>
            <w:tcW w:w="3085" w:type="dxa"/>
          </w:tcPr>
          <w:p w:rsidR="00B619E2" w:rsidRPr="005561AE" w:rsidRDefault="00B619E2" w:rsidP="00B82A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1.3.Основание для разработки целевой программы</w:t>
            </w:r>
          </w:p>
        </w:tc>
        <w:tc>
          <w:tcPr>
            <w:tcW w:w="6486" w:type="dxa"/>
          </w:tcPr>
          <w:p w:rsidR="00B619E2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Федеральный закон от 21.12.1994 № 69-ФЗ «О пожарной безопасности»,</w:t>
            </w:r>
          </w:p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Федеральный закон от 22.07.2008 № 123-ФЗ «Технический регламент о тре</w:t>
            </w:r>
            <w:r>
              <w:rPr>
                <w:rFonts w:ascii="Times New Roman" w:hAnsi="Times New Roman"/>
                <w:sz w:val="28"/>
                <w:szCs w:val="28"/>
              </w:rPr>
              <w:t>бованиях пожарной безопасности».</w:t>
            </w:r>
          </w:p>
        </w:tc>
      </w:tr>
      <w:tr w:rsidR="00B619E2" w:rsidRPr="005561AE" w:rsidTr="00B82A3E">
        <w:tc>
          <w:tcPr>
            <w:tcW w:w="3085" w:type="dxa"/>
          </w:tcPr>
          <w:p w:rsidR="00B619E2" w:rsidRPr="00C426FE" w:rsidRDefault="00B619E2" w:rsidP="00B82A3E">
            <w:pPr>
              <w:pStyle w:val="1"/>
              <w:spacing w:after="0" w:line="240" w:lineRule="auto"/>
              <w:ind w:left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426FE">
              <w:rPr>
                <w:rFonts w:ascii="Times New Roman" w:cs="Times New Roman"/>
                <w:sz w:val="28"/>
                <w:szCs w:val="28"/>
              </w:rPr>
              <w:t>1.4.Муниципальный заказчик Программы</w:t>
            </w:r>
          </w:p>
        </w:tc>
        <w:tc>
          <w:tcPr>
            <w:tcW w:w="6486" w:type="dxa"/>
          </w:tcPr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«Волочаевское сельское поселение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Смидовичского  муниципального района Еврейской автономной области</w:t>
            </w:r>
          </w:p>
        </w:tc>
      </w:tr>
      <w:tr w:rsidR="00B619E2" w:rsidRPr="005561AE" w:rsidTr="00B82A3E">
        <w:tc>
          <w:tcPr>
            <w:tcW w:w="3085" w:type="dxa"/>
          </w:tcPr>
          <w:p w:rsidR="00B619E2" w:rsidRPr="00C426FE" w:rsidRDefault="00B619E2" w:rsidP="00B82A3E">
            <w:pPr>
              <w:pStyle w:val="1"/>
              <w:spacing w:after="0" w:line="240" w:lineRule="auto"/>
              <w:ind w:left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426FE">
              <w:rPr>
                <w:rFonts w:ascii="Times New Roman" w:cs="Times New Roman"/>
                <w:sz w:val="28"/>
                <w:szCs w:val="28"/>
              </w:rPr>
              <w:t>1.5.Основные разработчики Программы</w:t>
            </w:r>
          </w:p>
        </w:tc>
        <w:tc>
          <w:tcPr>
            <w:tcW w:w="6486" w:type="dxa"/>
          </w:tcPr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«Волочаевское сельское поселение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Смидовичского  муниципального района</w:t>
            </w:r>
            <w:r w:rsidRPr="005C2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Еврейской автономной области</w:t>
            </w:r>
          </w:p>
        </w:tc>
      </w:tr>
      <w:tr w:rsidR="00B619E2" w:rsidRPr="005561AE" w:rsidTr="00B82A3E">
        <w:tc>
          <w:tcPr>
            <w:tcW w:w="3085" w:type="dxa"/>
          </w:tcPr>
          <w:p w:rsidR="00B619E2" w:rsidRPr="005561AE" w:rsidRDefault="00B619E2" w:rsidP="00B82A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1.6.Характеристики проблемы, решаемые целевой программой</w:t>
            </w:r>
          </w:p>
        </w:tc>
        <w:tc>
          <w:tcPr>
            <w:tcW w:w="6486" w:type="dxa"/>
          </w:tcPr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Предложенные мероприятия позволят решить вопросы по обеспечению первичных мер пожарной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«Волочаевское сельское поселение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Смидовичского  муниципального района Еврейской автономной области</w:t>
            </w:r>
          </w:p>
        </w:tc>
      </w:tr>
      <w:tr w:rsidR="00B619E2" w:rsidRPr="005561AE" w:rsidTr="00B82A3E">
        <w:tc>
          <w:tcPr>
            <w:tcW w:w="3085" w:type="dxa"/>
          </w:tcPr>
          <w:p w:rsidR="00B619E2" w:rsidRPr="005561AE" w:rsidRDefault="00B619E2" w:rsidP="00B82A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1.7. Основная цель </w:t>
            </w:r>
            <w:r w:rsidRPr="005561AE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86" w:type="dxa"/>
          </w:tcPr>
          <w:p w:rsidR="00B619E2" w:rsidRPr="005561AE" w:rsidRDefault="00B619E2" w:rsidP="00B61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lastRenderedPageBreak/>
              <w:t>Укрепление пожарной безопасности объектов</w:t>
            </w:r>
            <w:r>
              <w:rPr>
                <w:rFonts w:ascii="Times New Roman" w:hAnsi="Times New Roman"/>
                <w:sz w:val="28"/>
                <w:szCs w:val="28"/>
              </w:rPr>
              <w:t>, жилищного фонда и территорий сельского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1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«Волочаевское сельское поселение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Смидовичского  муниципального района</w:t>
            </w:r>
            <w:r w:rsidRPr="005C2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Еврейской автономной области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>, снижение   материального ущерба от  пожаров на 20%</w:t>
            </w:r>
          </w:p>
        </w:tc>
      </w:tr>
      <w:tr w:rsidR="00B619E2" w:rsidRPr="005561AE" w:rsidTr="00B82A3E">
        <w:tc>
          <w:tcPr>
            <w:tcW w:w="3085" w:type="dxa"/>
          </w:tcPr>
          <w:p w:rsidR="00B619E2" w:rsidRPr="005561AE" w:rsidRDefault="00B619E2" w:rsidP="00B82A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lastRenderedPageBreak/>
              <w:t>1.8.Задачи Программы</w:t>
            </w:r>
          </w:p>
        </w:tc>
        <w:tc>
          <w:tcPr>
            <w:tcW w:w="6486" w:type="dxa"/>
          </w:tcPr>
          <w:p w:rsidR="00B619E2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1. Обеспечение первичных мер пожарной безопасности и противопожарной защиты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«Волочаевское сельское поселение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Смидовичского  муниципального района Еврейской автономной области.</w:t>
            </w:r>
          </w:p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Реализация мероприятий по соблюдению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      </w:r>
          </w:p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условий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- для организации тушения пожаров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«Волочаевское сельское поселение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Смидовичского  муниципального района Еврейской автономной области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населения.</w:t>
            </w:r>
          </w:p>
        </w:tc>
      </w:tr>
      <w:tr w:rsidR="00B619E2" w:rsidRPr="005561AE" w:rsidTr="00B82A3E">
        <w:tc>
          <w:tcPr>
            <w:tcW w:w="3085" w:type="dxa"/>
          </w:tcPr>
          <w:p w:rsidR="00B619E2" w:rsidRPr="005561AE" w:rsidRDefault="00B619E2" w:rsidP="00B82A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1.9.Важнейшие целевые показатели целевой программы</w:t>
            </w:r>
          </w:p>
        </w:tc>
        <w:tc>
          <w:tcPr>
            <w:tcW w:w="6486" w:type="dxa"/>
          </w:tcPr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Эффективность реализации Программы оценивается с использованием целевых показателей, характеризующих снижение показателей обстановки, касающейся пожаров, в том числе:</w:t>
            </w:r>
          </w:p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- сниж</w:t>
            </w:r>
            <w:r>
              <w:rPr>
                <w:rFonts w:ascii="Times New Roman" w:hAnsi="Times New Roman"/>
                <w:sz w:val="28"/>
                <w:szCs w:val="28"/>
              </w:rPr>
              <w:t>ение пожаров по отношению к 2019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году,</w:t>
            </w:r>
          </w:p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- снижение количе</w:t>
            </w:r>
            <w:r>
              <w:rPr>
                <w:rFonts w:ascii="Times New Roman" w:hAnsi="Times New Roman"/>
                <w:sz w:val="28"/>
                <w:szCs w:val="28"/>
              </w:rPr>
              <w:t>ства зарегистрированных пожаров и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экономического ущерба</w:t>
            </w:r>
          </w:p>
        </w:tc>
      </w:tr>
      <w:tr w:rsidR="00B619E2" w:rsidRPr="005561AE" w:rsidTr="00B82A3E">
        <w:tc>
          <w:tcPr>
            <w:tcW w:w="3085" w:type="dxa"/>
          </w:tcPr>
          <w:p w:rsidR="00B619E2" w:rsidRPr="005561AE" w:rsidRDefault="00B619E2" w:rsidP="00B82A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1.10.Сроки и этапы реализации Программы</w:t>
            </w:r>
          </w:p>
        </w:tc>
        <w:tc>
          <w:tcPr>
            <w:tcW w:w="6486" w:type="dxa"/>
          </w:tcPr>
          <w:p w:rsidR="00B619E2" w:rsidRPr="005561AE" w:rsidRDefault="00B619E2" w:rsidP="00B82A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– 2025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619E2" w:rsidRPr="005561AE" w:rsidTr="00B82A3E">
        <w:tc>
          <w:tcPr>
            <w:tcW w:w="3085" w:type="dxa"/>
          </w:tcPr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1.11. Исполнители основных мероприятий</w:t>
            </w:r>
          </w:p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«Волочаевское сельское поселение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Смидовичского  муниципального района Еврейской автономной области</w:t>
            </w:r>
          </w:p>
        </w:tc>
      </w:tr>
      <w:tr w:rsidR="00B619E2" w:rsidRPr="005561AE" w:rsidTr="00B82A3E">
        <w:tc>
          <w:tcPr>
            <w:tcW w:w="3085" w:type="dxa"/>
          </w:tcPr>
          <w:p w:rsidR="00B619E2" w:rsidRPr="005561AE" w:rsidRDefault="00B619E2" w:rsidP="00B82A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1.12.Объемы финансирования по источникам и срокам</w:t>
            </w:r>
          </w:p>
        </w:tc>
        <w:tc>
          <w:tcPr>
            <w:tcW w:w="6486" w:type="dxa"/>
          </w:tcPr>
          <w:p w:rsidR="00B619E2" w:rsidRPr="001C6E95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E95">
              <w:rPr>
                <w:rFonts w:ascii="Times New Roman" w:hAnsi="Times New Roman"/>
                <w:sz w:val="28"/>
                <w:szCs w:val="28"/>
              </w:rPr>
              <w:t>Бюджет сельского поселения:</w:t>
            </w:r>
          </w:p>
          <w:p w:rsidR="00B619E2" w:rsidRPr="001C6E95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1C6E95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950 </w:t>
            </w:r>
            <w:r w:rsidRPr="001C6E95">
              <w:rPr>
                <w:rFonts w:ascii="Times New Roman" w:hAnsi="Times New Roman"/>
                <w:i/>
                <w:sz w:val="28"/>
                <w:szCs w:val="28"/>
              </w:rPr>
              <w:t>тыс. руб.</w:t>
            </w:r>
          </w:p>
          <w:p w:rsidR="00B619E2" w:rsidRPr="001C6E95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1C6E95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950</w:t>
            </w:r>
            <w:r w:rsidRPr="001C6E95">
              <w:rPr>
                <w:rFonts w:ascii="Times New Roman" w:hAnsi="Times New Roman"/>
                <w:i/>
                <w:sz w:val="28"/>
                <w:szCs w:val="28"/>
              </w:rPr>
              <w:t xml:space="preserve"> тыс. руб.</w:t>
            </w:r>
          </w:p>
          <w:p w:rsidR="00B619E2" w:rsidRPr="005C2AAD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1C6E95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950</w:t>
            </w:r>
            <w:r w:rsidRPr="001C6E95">
              <w:rPr>
                <w:rFonts w:ascii="Times New Roman" w:hAnsi="Times New Roman"/>
                <w:i/>
                <w:sz w:val="28"/>
                <w:szCs w:val="28"/>
              </w:rPr>
              <w:t xml:space="preserve"> тыс. руб.</w:t>
            </w:r>
          </w:p>
        </w:tc>
      </w:tr>
      <w:tr w:rsidR="00B619E2" w:rsidRPr="005561AE" w:rsidTr="00B82A3E">
        <w:tc>
          <w:tcPr>
            <w:tcW w:w="3085" w:type="dxa"/>
          </w:tcPr>
          <w:p w:rsidR="00B619E2" w:rsidRPr="005561AE" w:rsidRDefault="00B619E2" w:rsidP="00B82A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1.13. Ожидаемые конечные результаты </w:t>
            </w:r>
            <w:r w:rsidRPr="005561AE">
              <w:rPr>
                <w:rFonts w:ascii="Times New Roman" w:hAnsi="Times New Roman"/>
                <w:sz w:val="28"/>
                <w:szCs w:val="28"/>
              </w:rPr>
              <w:lastRenderedPageBreak/>
              <w:t>целевой программы</w:t>
            </w:r>
          </w:p>
          <w:p w:rsidR="00B619E2" w:rsidRPr="005561AE" w:rsidRDefault="00B619E2" w:rsidP="00B82A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Достижение социально и экономически приемлемого уровня пожарной безопасности     на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поселения, создание </w:t>
            </w:r>
            <w:r w:rsidRPr="005561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системы противодействия угрозам пожарной безопасности, обеспечение благоприятных условий для функционирования добровольной пожарной охраны, сокращения количества пожаров. Население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«Волочаевское сельское поселение</w:t>
            </w:r>
            <w:r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Смидовичского  муниципального района Еврейской автономной области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приобретает навыки и способы действий при возникновении пожара.</w:t>
            </w:r>
          </w:p>
        </w:tc>
      </w:tr>
      <w:tr w:rsidR="00B619E2" w:rsidRPr="005561AE" w:rsidTr="00B82A3E">
        <w:tc>
          <w:tcPr>
            <w:tcW w:w="3085" w:type="dxa"/>
          </w:tcPr>
          <w:p w:rsidR="00B619E2" w:rsidRPr="005561AE" w:rsidRDefault="00B619E2" w:rsidP="00B82A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1.14. 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>Организация системы контроля</w:t>
            </w:r>
          </w:p>
        </w:tc>
        <w:tc>
          <w:tcPr>
            <w:tcW w:w="6486" w:type="dxa"/>
          </w:tcPr>
          <w:p w:rsidR="00B619E2" w:rsidRPr="005561AE" w:rsidRDefault="00B619E2" w:rsidP="00B82A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Контроль осуществляется по результатам отчетов о финансировании и выполнении программных мероприятий исполнителями ежеквартально. </w:t>
            </w:r>
          </w:p>
        </w:tc>
      </w:tr>
    </w:tbl>
    <w:p w:rsidR="00B619E2" w:rsidRPr="00C426FE" w:rsidRDefault="00B619E2" w:rsidP="00B619E2">
      <w:pPr>
        <w:pStyle w:val="1"/>
        <w:spacing w:after="0" w:line="240" w:lineRule="auto"/>
        <w:ind w:left="0"/>
        <w:jc w:val="both"/>
        <w:rPr>
          <w:rFonts w:ascii="Times New Roman" w:cs="Times New Roman"/>
          <w:sz w:val="28"/>
          <w:szCs w:val="28"/>
        </w:rPr>
      </w:pPr>
    </w:p>
    <w:p w:rsidR="00B619E2" w:rsidRPr="00C426FE" w:rsidRDefault="00B619E2" w:rsidP="00B619E2">
      <w:pPr>
        <w:pStyle w:val="1"/>
        <w:numPr>
          <w:ilvl w:val="0"/>
          <w:numId w:val="1"/>
        </w:numPr>
        <w:tabs>
          <w:tab w:val="clear" w:pos="708"/>
        </w:tabs>
        <w:suppressAutoHyphens w:val="0"/>
        <w:spacing w:after="0" w:line="24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C426FE">
        <w:rPr>
          <w:rFonts w:ascii="Times New Roman" w:cs="Times New Roman"/>
          <w:sz w:val="28"/>
          <w:szCs w:val="28"/>
        </w:rPr>
        <w:t>Основные положения  муниципальной целевой программы.</w:t>
      </w:r>
    </w:p>
    <w:p w:rsidR="00B619E2" w:rsidRPr="00C426FE" w:rsidRDefault="00B619E2" w:rsidP="00B619E2">
      <w:pPr>
        <w:pStyle w:val="1"/>
        <w:numPr>
          <w:ilvl w:val="1"/>
          <w:numId w:val="1"/>
        </w:numPr>
        <w:tabs>
          <w:tab w:val="clear" w:pos="708"/>
        </w:tabs>
        <w:suppressAutoHyphens w:val="0"/>
        <w:spacing w:after="0" w:line="24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C426FE">
        <w:rPr>
          <w:rFonts w:ascii="Times New Roman" w:cs="Times New Roman"/>
          <w:sz w:val="28"/>
          <w:szCs w:val="28"/>
        </w:rPr>
        <w:t xml:space="preserve"> Введение: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26FE">
        <w:rPr>
          <w:rFonts w:ascii="Times New Roman" w:hAnsi="Times New Roman"/>
          <w:sz w:val="28"/>
          <w:szCs w:val="28"/>
        </w:rPr>
        <w:t xml:space="preserve">Программа разработана на основании Федеральных законов Российской Федерации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безопасности».   </w:t>
      </w:r>
    </w:p>
    <w:p w:rsidR="00B619E2" w:rsidRPr="00C426FE" w:rsidRDefault="00B619E2" w:rsidP="00B619E2">
      <w:pPr>
        <w:pStyle w:val="1"/>
        <w:numPr>
          <w:ilvl w:val="1"/>
          <w:numId w:val="1"/>
        </w:numPr>
        <w:tabs>
          <w:tab w:val="clear" w:pos="708"/>
        </w:tabs>
        <w:suppressAutoHyphens w:val="0"/>
        <w:spacing w:after="0" w:line="24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C426FE">
        <w:rPr>
          <w:rFonts w:ascii="Times New Roman" w:cs="Times New Roman"/>
          <w:sz w:val="28"/>
          <w:szCs w:val="28"/>
        </w:rPr>
        <w:t>Характеристика проблемы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Ежегодно  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«Волочаевское сельское поселение</w:t>
      </w:r>
      <w:r w:rsidRPr="00C426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Смидовичского  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 xml:space="preserve"> происходят пожары, причиняя определенный материальный ущерб.    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Основные причины пожаров на территории поселения: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неосторожное обращение с огнём, несанкционированные поджоги, палы;</w:t>
      </w:r>
    </w:p>
    <w:p w:rsidR="00B619E2" w:rsidRPr="00C426FE" w:rsidRDefault="00B619E2" w:rsidP="00B61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 - нарушение  правил обращения с электробытовыми и газовыми приборами;  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неисправность и нарушение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Pr="00C426FE">
        <w:rPr>
          <w:rFonts w:ascii="Times New Roman" w:hAnsi="Times New Roman"/>
          <w:sz w:val="28"/>
          <w:szCs w:val="28"/>
        </w:rPr>
        <w:t xml:space="preserve"> эксплуатаций печей и т.д.  </w:t>
      </w:r>
    </w:p>
    <w:p w:rsidR="00B619E2" w:rsidRPr="00C426FE" w:rsidRDefault="00B619E2" w:rsidP="00B619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Относительные показатели количества </w:t>
      </w:r>
      <w:r>
        <w:rPr>
          <w:rFonts w:ascii="Times New Roman" w:hAnsi="Times New Roman"/>
          <w:sz w:val="28"/>
          <w:szCs w:val="28"/>
        </w:rPr>
        <w:t>пожаров на территории муниципального образования</w:t>
      </w:r>
      <w:r w:rsidRPr="00C42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«Волочаевское сельское поселение</w:t>
      </w:r>
      <w:r w:rsidRPr="00C426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Смидовичского  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 xml:space="preserve"> остаются на уровне среднестатистических.  В соответствии со ст. 76 технического регламента о требованиях пожарной безопасности  обеспечивается  нормативное время прибытия пожарны</w:t>
      </w:r>
      <w:r>
        <w:rPr>
          <w:rFonts w:ascii="Times New Roman" w:hAnsi="Times New Roman"/>
          <w:sz w:val="28"/>
          <w:szCs w:val="28"/>
        </w:rPr>
        <w:t>х расчетов к месту тушения. Сельское</w:t>
      </w:r>
      <w:r w:rsidRPr="00C426FE">
        <w:rPr>
          <w:rFonts w:ascii="Times New Roman" w:hAnsi="Times New Roman"/>
          <w:sz w:val="28"/>
          <w:szCs w:val="28"/>
        </w:rPr>
        <w:t xml:space="preserve"> поселение  обеспеченно  подразделением пожарной охраны:  </w:t>
      </w:r>
      <w:r>
        <w:rPr>
          <w:rFonts w:ascii="Times New Roman" w:hAnsi="Times New Roman"/>
          <w:sz w:val="28"/>
          <w:szCs w:val="28"/>
        </w:rPr>
        <w:t>Пожарный пост п. Волочаевка2</w:t>
      </w:r>
      <w:r w:rsidRPr="00C426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9E2" w:rsidRPr="00C426FE" w:rsidRDefault="00B619E2" w:rsidP="00B619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  Имеются естественные водоёмы</w:t>
      </w:r>
      <w:r>
        <w:rPr>
          <w:rFonts w:ascii="Times New Roman" w:hAnsi="Times New Roman"/>
          <w:sz w:val="28"/>
          <w:szCs w:val="28"/>
        </w:rPr>
        <w:t>, пожарные краны, водозабор</w:t>
      </w:r>
      <w:r w:rsidRPr="00C426FE">
        <w:rPr>
          <w:rFonts w:ascii="Times New Roman" w:hAnsi="Times New Roman"/>
          <w:sz w:val="28"/>
          <w:szCs w:val="28"/>
        </w:rPr>
        <w:t xml:space="preserve"> техническое состояние объектов наружного противопожарного водоснабжения соответствует предъявляемым нормам. </w:t>
      </w:r>
    </w:p>
    <w:p w:rsidR="00B619E2" w:rsidRPr="00C426FE" w:rsidRDefault="00B619E2" w:rsidP="00B619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  Большая доля пожаров происходит в результате неосторожного обращения с огнём граждан и    несанкционированных поджогов и палов сухой </w:t>
      </w:r>
      <w:r w:rsidRPr="00C426FE">
        <w:rPr>
          <w:rFonts w:ascii="Times New Roman" w:hAnsi="Times New Roman"/>
          <w:sz w:val="28"/>
          <w:szCs w:val="28"/>
        </w:rPr>
        <w:lastRenderedPageBreak/>
        <w:t>растительности в весеннее и осеннее время.     Требуется дальнейшее совершенствование новых способов и форм обучения населения мерам пожарной безопасности.</w:t>
      </w:r>
    </w:p>
    <w:p w:rsidR="00B619E2" w:rsidRPr="00C426FE" w:rsidRDefault="00B619E2" w:rsidP="00B619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Разработанные мероприятия в Программе по обеспечению первичных мер пожарной без</w:t>
      </w:r>
      <w:r>
        <w:rPr>
          <w:rFonts w:ascii="Times New Roman" w:hAnsi="Times New Roman"/>
          <w:sz w:val="28"/>
          <w:szCs w:val="28"/>
        </w:rPr>
        <w:t>опасности на территории</w:t>
      </w:r>
      <w:r w:rsidRPr="00C42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«Волочаевское сельское поселение</w:t>
      </w:r>
      <w:r w:rsidRPr="00C426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Смидовичского  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 xml:space="preserve"> позволят решить вопросы тушения пожаров на территории поселения,   предотвращения развития пожара, обучению населения действиям при пожаре и мерам по защите домовладений от загораний.</w:t>
      </w:r>
    </w:p>
    <w:p w:rsidR="00B619E2" w:rsidRPr="00C426FE" w:rsidRDefault="00B619E2" w:rsidP="00B619E2">
      <w:pPr>
        <w:pStyle w:val="1"/>
        <w:spacing w:after="0" w:line="240" w:lineRule="auto"/>
        <w:jc w:val="center"/>
        <w:rPr>
          <w:rFonts w:ascii="Times New Roman" w:cs="Times New Roman"/>
          <w:sz w:val="28"/>
          <w:szCs w:val="28"/>
        </w:rPr>
      </w:pPr>
      <w:r w:rsidRPr="00C426FE">
        <w:rPr>
          <w:rFonts w:ascii="Times New Roman" w:cs="Times New Roman"/>
          <w:sz w:val="28"/>
          <w:szCs w:val="28"/>
        </w:rPr>
        <w:t>3.3.</w:t>
      </w:r>
      <w:r>
        <w:rPr>
          <w:rFonts w:ascii="Times New Roman" w:cs="Times New Roman"/>
          <w:sz w:val="28"/>
          <w:szCs w:val="28"/>
        </w:rPr>
        <w:t xml:space="preserve"> </w:t>
      </w:r>
      <w:r w:rsidRPr="00C426FE">
        <w:rPr>
          <w:rFonts w:ascii="Times New Roman" w:cs="Times New Roman"/>
          <w:sz w:val="28"/>
          <w:szCs w:val="28"/>
        </w:rPr>
        <w:t>Задачи программы</w:t>
      </w:r>
    </w:p>
    <w:p w:rsidR="00B619E2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а) повысить устойчивость функционирования жилых домов, объектов социального назначения на территории городского поселения в чрезвычайных ситуациях;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б) обучение населения способам защиты и действиям при пожаре, снижение материального ущерба от возможного пожара;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в) создать условия: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- для организации тушения </w:t>
      </w:r>
      <w:r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Pr="00C42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«Волочаевское сельское поселение</w:t>
      </w:r>
      <w:r w:rsidRPr="00C426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Смидовичского  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>;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содействия распространению пожарно-технических знаний среди населения.</w:t>
      </w:r>
    </w:p>
    <w:p w:rsidR="00B619E2" w:rsidRDefault="00B619E2" w:rsidP="00B61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                      </w:t>
      </w:r>
    </w:p>
    <w:p w:rsidR="00B619E2" w:rsidRPr="00C426FE" w:rsidRDefault="00B619E2" w:rsidP="00B619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3.4.Сроки и этапы реализации программы.</w:t>
      </w:r>
    </w:p>
    <w:p w:rsidR="00B619E2" w:rsidRPr="00C426FE" w:rsidRDefault="00B619E2" w:rsidP="00B619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Программа по обеспечению первичных мер пожарной безопасности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C42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«Волочаевское сельское поселение</w:t>
      </w:r>
      <w:r w:rsidRPr="00C426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Смидовичского  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 xml:space="preserve"> разработана на три </w:t>
      </w:r>
      <w:r>
        <w:rPr>
          <w:rFonts w:ascii="Times New Roman" w:hAnsi="Times New Roman"/>
          <w:sz w:val="28"/>
          <w:szCs w:val="28"/>
        </w:rPr>
        <w:t>года в течение 2023 – 2025</w:t>
      </w:r>
      <w:r w:rsidRPr="00C426FE">
        <w:rPr>
          <w:rFonts w:ascii="Times New Roman" w:hAnsi="Times New Roman"/>
          <w:sz w:val="28"/>
          <w:szCs w:val="28"/>
        </w:rPr>
        <w:t xml:space="preserve"> годов, предполагающих ежегодное плановое выполнение первичных мер пожарной безопасности.</w:t>
      </w:r>
    </w:p>
    <w:p w:rsidR="00B619E2" w:rsidRDefault="00B619E2" w:rsidP="00B619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 Этапы реализации программы предусматривают решение первоочередных задач по обеспечению пожарной безопасности и созданию инфраструктуры пожарной безопасности.  </w:t>
      </w:r>
    </w:p>
    <w:p w:rsidR="00B619E2" w:rsidRPr="00C426FE" w:rsidRDefault="00B619E2" w:rsidP="00B619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9E2" w:rsidRPr="004576D7" w:rsidRDefault="00B619E2" w:rsidP="00B619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3.5.Система программных мероприяти</w:t>
      </w:r>
      <w:r>
        <w:rPr>
          <w:rFonts w:ascii="Times New Roman" w:hAnsi="Times New Roman"/>
          <w:sz w:val="28"/>
          <w:szCs w:val="28"/>
        </w:rPr>
        <w:t>й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995"/>
        <w:gridCol w:w="2021"/>
        <w:gridCol w:w="776"/>
        <w:gridCol w:w="909"/>
        <w:gridCol w:w="900"/>
      </w:tblGrid>
      <w:tr w:rsidR="00B619E2" w:rsidRPr="005561AE" w:rsidTr="00B82A3E">
        <w:tc>
          <w:tcPr>
            <w:tcW w:w="534" w:type="dxa"/>
            <w:vMerge w:val="restart"/>
            <w:vAlign w:val="center"/>
          </w:tcPr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95" w:type="dxa"/>
            <w:vMerge w:val="restart"/>
            <w:vAlign w:val="center"/>
          </w:tcPr>
          <w:p w:rsidR="00B619E2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Источники финансирования,</w:t>
            </w:r>
          </w:p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сумма</w:t>
            </w:r>
          </w:p>
        </w:tc>
        <w:tc>
          <w:tcPr>
            <w:tcW w:w="2021" w:type="dxa"/>
            <w:vMerge w:val="restart"/>
            <w:vAlign w:val="center"/>
          </w:tcPr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Запланировано</w:t>
            </w:r>
          </w:p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средств,</w:t>
            </w:r>
          </w:p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тыс. руб.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585" w:type="dxa"/>
            <w:gridSpan w:val="3"/>
            <w:vAlign w:val="center"/>
          </w:tcPr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Срок исполнения</w:t>
            </w:r>
          </w:p>
        </w:tc>
      </w:tr>
      <w:tr w:rsidR="00B619E2" w:rsidRPr="005561AE" w:rsidTr="00B82A3E">
        <w:tc>
          <w:tcPr>
            <w:tcW w:w="534" w:type="dxa"/>
            <w:vMerge/>
          </w:tcPr>
          <w:p w:rsidR="00B619E2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619E2" w:rsidRPr="005561AE" w:rsidRDefault="00B619E2" w:rsidP="00B82A3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5" w:type="dxa"/>
            <w:vMerge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vMerge/>
          </w:tcPr>
          <w:p w:rsidR="00B619E2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B619E2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00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B619E2" w:rsidRPr="005561AE" w:rsidTr="00B82A3E">
        <w:tc>
          <w:tcPr>
            <w:tcW w:w="534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619E2" w:rsidRPr="005561AE" w:rsidRDefault="00B619E2" w:rsidP="00B82A3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Создание условий для организации   ДПД   </w:t>
            </w:r>
          </w:p>
        </w:tc>
        <w:tc>
          <w:tcPr>
            <w:tcW w:w="1995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021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561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6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B619E2" w:rsidRPr="005561AE" w:rsidTr="00B82A3E">
        <w:trPr>
          <w:trHeight w:val="982"/>
        </w:trPr>
        <w:tc>
          <w:tcPr>
            <w:tcW w:w="534" w:type="dxa"/>
          </w:tcPr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619E2" w:rsidRPr="005561AE" w:rsidRDefault="00B619E2" w:rsidP="00B82A3E">
            <w:pPr>
              <w:spacing w:after="0" w:line="240" w:lineRule="auto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Изготовление стендов, баннеров и т.п., по  противопожарной </w:t>
            </w:r>
            <w:r w:rsidRPr="005561AE">
              <w:rPr>
                <w:rFonts w:ascii="Times New Roman" w:hAnsi="Times New Roman"/>
              </w:rPr>
              <w:lastRenderedPageBreak/>
              <w:t xml:space="preserve">пропаганде направленной на профилактику пожаров.        </w:t>
            </w:r>
          </w:p>
        </w:tc>
        <w:tc>
          <w:tcPr>
            <w:tcW w:w="1995" w:type="dxa"/>
          </w:tcPr>
          <w:p w:rsidR="00B619E2" w:rsidRPr="005561AE" w:rsidRDefault="00B619E2" w:rsidP="00B82A3E">
            <w:pPr>
              <w:spacing w:after="0" w:line="240" w:lineRule="auto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lastRenderedPageBreak/>
              <w:t>Бюджет поселения</w:t>
            </w:r>
          </w:p>
        </w:tc>
        <w:tc>
          <w:tcPr>
            <w:tcW w:w="2021" w:type="dxa"/>
          </w:tcPr>
          <w:p w:rsidR="00B619E2" w:rsidRPr="005561AE" w:rsidRDefault="00FE2E36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6" w:type="dxa"/>
          </w:tcPr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19E2" w:rsidRPr="005561AE" w:rsidTr="00B82A3E">
        <w:tc>
          <w:tcPr>
            <w:tcW w:w="534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693" w:type="dxa"/>
          </w:tcPr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Проведение работ по скосу травы на обо</w:t>
            </w:r>
            <w:r>
              <w:rPr>
                <w:rFonts w:ascii="Times New Roman" w:hAnsi="Times New Roman"/>
              </w:rPr>
              <w:t>чинах и кюветах дорог сельского</w:t>
            </w:r>
            <w:r w:rsidRPr="005561AE">
              <w:rPr>
                <w:rFonts w:ascii="Times New Roman" w:hAnsi="Times New Roman"/>
              </w:rPr>
              <w:t xml:space="preserve"> поселения.</w:t>
            </w:r>
          </w:p>
        </w:tc>
        <w:tc>
          <w:tcPr>
            <w:tcW w:w="1995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  <w:r>
              <w:rPr>
                <w:rFonts w:ascii="Times New Roman" w:hAnsi="Times New Roman"/>
              </w:rPr>
              <w:t xml:space="preserve"> (дорожный фонд)</w:t>
            </w:r>
          </w:p>
        </w:tc>
        <w:tc>
          <w:tcPr>
            <w:tcW w:w="2021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76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619E2" w:rsidRPr="005561AE" w:rsidTr="00B82A3E">
        <w:tc>
          <w:tcPr>
            <w:tcW w:w="534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B619E2" w:rsidRPr="005561AE" w:rsidRDefault="00B619E2" w:rsidP="00B82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Мероприятия по развитию наружного  противопожарного водоснабжения (ППВ)</w:t>
            </w:r>
          </w:p>
        </w:tc>
        <w:tc>
          <w:tcPr>
            <w:tcW w:w="1995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021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E2E36">
              <w:rPr>
                <w:rFonts w:ascii="Times New Roman" w:hAnsi="Times New Roman"/>
              </w:rPr>
              <w:t>2660</w:t>
            </w:r>
          </w:p>
        </w:tc>
        <w:tc>
          <w:tcPr>
            <w:tcW w:w="776" w:type="dxa"/>
          </w:tcPr>
          <w:p w:rsidR="00B619E2" w:rsidRPr="005561AE" w:rsidRDefault="00FE2E36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B619E2" w:rsidRPr="005561AE" w:rsidRDefault="00FE2E36" w:rsidP="00FE2E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</w:t>
            </w:r>
          </w:p>
        </w:tc>
        <w:tc>
          <w:tcPr>
            <w:tcW w:w="900" w:type="dxa"/>
          </w:tcPr>
          <w:p w:rsidR="00B619E2" w:rsidRPr="005561AE" w:rsidRDefault="00FE2E36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</w:t>
            </w:r>
          </w:p>
        </w:tc>
      </w:tr>
      <w:tr w:rsidR="00B619E2" w:rsidRPr="005561AE" w:rsidTr="00B82A3E">
        <w:tc>
          <w:tcPr>
            <w:tcW w:w="534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B619E2" w:rsidRPr="005561AE" w:rsidRDefault="00B619E2" w:rsidP="00B82A3E">
            <w:pPr>
              <w:spacing w:after="0" w:line="240" w:lineRule="auto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Проведение противопожарных мероприятий  по сносу    аварийных домов, брошенных строений.  </w:t>
            </w:r>
          </w:p>
          <w:p w:rsidR="00B619E2" w:rsidRPr="005561AE" w:rsidRDefault="00B619E2" w:rsidP="00B82A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021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76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619E2" w:rsidRPr="005561AE" w:rsidTr="00B82A3E">
        <w:tc>
          <w:tcPr>
            <w:tcW w:w="534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619E2" w:rsidRPr="005561AE" w:rsidRDefault="00B619E2" w:rsidP="00B82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61A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95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1" w:type="dxa"/>
          </w:tcPr>
          <w:p w:rsidR="00B619E2" w:rsidRPr="005561AE" w:rsidRDefault="00B619E2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E2E36">
              <w:rPr>
                <w:rFonts w:ascii="Times New Roman" w:hAnsi="Times New Roman"/>
              </w:rPr>
              <w:t>850</w:t>
            </w:r>
          </w:p>
        </w:tc>
        <w:tc>
          <w:tcPr>
            <w:tcW w:w="776" w:type="dxa"/>
          </w:tcPr>
          <w:p w:rsidR="00B619E2" w:rsidRPr="005561AE" w:rsidRDefault="00FE2E36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B619E2" w:rsidRPr="005561AE" w:rsidRDefault="00FE2E36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w="900" w:type="dxa"/>
          </w:tcPr>
          <w:p w:rsidR="00B619E2" w:rsidRPr="005561AE" w:rsidRDefault="00FE2E36" w:rsidP="00B82A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</w:tr>
    </w:tbl>
    <w:p w:rsidR="00B619E2" w:rsidRPr="00C426FE" w:rsidRDefault="00B619E2" w:rsidP="00B619E2">
      <w:pPr>
        <w:spacing w:line="240" w:lineRule="auto"/>
        <w:jc w:val="both"/>
        <w:rPr>
          <w:rFonts w:ascii="Times New Roman" w:hAnsi="Times New Roman"/>
        </w:rPr>
      </w:pPr>
    </w:p>
    <w:p w:rsidR="00B619E2" w:rsidRPr="00C426FE" w:rsidRDefault="00B619E2" w:rsidP="00B619E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*- суммы рассчитаны с примен</w:t>
      </w:r>
      <w:r w:rsidR="00BD27FA">
        <w:rPr>
          <w:rFonts w:ascii="Times New Roman" w:hAnsi="Times New Roman"/>
          <w:sz w:val="28"/>
          <w:szCs w:val="28"/>
        </w:rPr>
        <w:t xml:space="preserve">ением коэффициента инфляции </w:t>
      </w:r>
      <w:r w:rsidRPr="00C426FE">
        <w:rPr>
          <w:rFonts w:ascii="Times New Roman" w:hAnsi="Times New Roman"/>
          <w:sz w:val="28"/>
          <w:szCs w:val="28"/>
        </w:rPr>
        <w:t>и могут быть скорректированы.</w:t>
      </w:r>
    </w:p>
    <w:p w:rsidR="00B619E2" w:rsidRPr="00C426FE" w:rsidRDefault="00B619E2" w:rsidP="00B619E2">
      <w:pPr>
        <w:pStyle w:val="1"/>
        <w:numPr>
          <w:ilvl w:val="0"/>
          <w:numId w:val="1"/>
        </w:numPr>
        <w:tabs>
          <w:tab w:val="clear" w:pos="708"/>
        </w:tabs>
        <w:suppressAutoHyphens w:val="0"/>
        <w:spacing w:after="0"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C426FE">
        <w:rPr>
          <w:rFonts w:ascii="Times New Roman" w:cs="Times New Roman"/>
          <w:sz w:val="28"/>
          <w:szCs w:val="28"/>
        </w:rPr>
        <w:t>Обеспечение реализации  муниципальной целевой программы</w:t>
      </w:r>
    </w:p>
    <w:p w:rsidR="00B619E2" w:rsidRDefault="00B619E2" w:rsidP="00B619E2">
      <w:pPr>
        <w:pStyle w:val="1"/>
        <w:spacing w:after="0" w:line="24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</w:p>
    <w:p w:rsidR="00B619E2" w:rsidRDefault="00B619E2" w:rsidP="00B619E2">
      <w:pPr>
        <w:pStyle w:val="1"/>
        <w:spacing w:after="0" w:line="240" w:lineRule="auto"/>
        <w:ind w:left="0" w:firstLine="709"/>
        <w:jc w:val="center"/>
        <w:rPr>
          <w:rFonts w:ascii="Times New Roman" w:cs="Times New Roman"/>
          <w:sz w:val="28"/>
          <w:szCs w:val="28"/>
        </w:rPr>
      </w:pPr>
      <w:r w:rsidRPr="00C426FE">
        <w:rPr>
          <w:rFonts w:ascii="Times New Roman" w:cs="Times New Roman"/>
          <w:sz w:val="28"/>
          <w:szCs w:val="28"/>
        </w:rPr>
        <w:t>4.1.Правовое обеспечение:</w:t>
      </w:r>
    </w:p>
    <w:p w:rsidR="00B619E2" w:rsidRPr="00DA22BD" w:rsidRDefault="00B619E2" w:rsidP="00B619E2">
      <w:pPr>
        <w:pStyle w:val="1"/>
        <w:spacing w:after="0" w:line="240" w:lineRule="auto"/>
        <w:ind w:left="0" w:firstLine="709"/>
        <w:jc w:val="center"/>
        <w:rPr>
          <w:rFonts w:ascii="Times New Roman" w:cs="Times New Roman"/>
          <w:sz w:val="28"/>
          <w:szCs w:val="28"/>
        </w:rPr>
      </w:pP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Федеральный закон от 03.10.2003 № 131-ФЗ «Об общих принципах организации местного самоуправления в Российской Федерации»;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Федеральный закон от 21.12.1994 № 69-ФЗ «О пожарной безопасности»;</w:t>
      </w:r>
    </w:p>
    <w:p w:rsidR="00B619E2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Федеральный закон от 22.07.2008 № 123-ФЗ «Технический регламент о тре</w:t>
      </w:r>
      <w:r>
        <w:rPr>
          <w:rFonts w:ascii="Times New Roman" w:hAnsi="Times New Roman"/>
          <w:sz w:val="28"/>
          <w:szCs w:val="28"/>
        </w:rPr>
        <w:t>бованиях пожарной безопасности».</w:t>
      </w:r>
    </w:p>
    <w:p w:rsidR="00B619E2" w:rsidRDefault="00B619E2" w:rsidP="00B61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E2" w:rsidRPr="00C426FE" w:rsidRDefault="00BD27FA" w:rsidP="00B619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Организация</w:t>
      </w:r>
      <w:r w:rsidR="00B619E2" w:rsidRPr="00C426FE">
        <w:rPr>
          <w:rFonts w:ascii="Times New Roman" w:hAnsi="Times New Roman"/>
          <w:sz w:val="28"/>
          <w:szCs w:val="28"/>
        </w:rPr>
        <w:t xml:space="preserve"> реализации программы.</w:t>
      </w:r>
    </w:p>
    <w:p w:rsidR="00B619E2" w:rsidRPr="00C426FE" w:rsidRDefault="00B619E2" w:rsidP="00B619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С целью выполнения Программы по обеспечению первичных мер пожарной безопасности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C42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«Волочаевское сельское поселение</w:t>
      </w:r>
      <w:r w:rsidRPr="00C426FE">
        <w:rPr>
          <w:rFonts w:ascii="Times New Roman" w:hAnsi="Times New Roman"/>
          <w:sz w:val="28"/>
          <w:szCs w:val="28"/>
        </w:rPr>
        <w:t xml:space="preserve">» </w:t>
      </w:r>
      <w:r w:rsidR="00BD27FA">
        <w:rPr>
          <w:rFonts w:ascii="Times New Roman" w:hAnsi="Times New Roman"/>
          <w:sz w:val="28"/>
          <w:szCs w:val="28"/>
        </w:rPr>
        <w:t xml:space="preserve">Смидовичского </w:t>
      </w:r>
      <w:r>
        <w:rPr>
          <w:rFonts w:ascii="Times New Roman" w:hAnsi="Times New Roman"/>
          <w:sz w:val="28"/>
          <w:szCs w:val="28"/>
        </w:rPr>
        <w:t>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 xml:space="preserve"> ежегодно составляется план выполнения запланированных мероприятий, с указанием источника финансирования, сроков исполнения мероприятия, ответственных исполнителей. План утверждается распоряжением главы городского поселения.</w:t>
      </w:r>
    </w:p>
    <w:p w:rsidR="00B619E2" w:rsidRPr="00C426FE" w:rsidRDefault="00B619E2" w:rsidP="00B619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4.3. Ресурсное обеспечение программы</w:t>
      </w:r>
    </w:p>
    <w:p w:rsidR="00B619E2" w:rsidRPr="007F7DCB" w:rsidRDefault="00B619E2" w:rsidP="00B619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Ресурсное обеспечение Программы по обеспечению первичных мер пожарной безопасности </w:t>
      </w:r>
      <w:r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Pr="00C42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«Волочаевское сельское поселение</w:t>
      </w:r>
      <w:r w:rsidRPr="00C426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Смидовичского  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 xml:space="preserve"> предусматривается бюджетом городского поселения.</w:t>
      </w:r>
    </w:p>
    <w:p w:rsidR="00B619E2" w:rsidRPr="00C426FE" w:rsidRDefault="00B619E2" w:rsidP="00B619E2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lastRenderedPageBreak/>
        <w:t>5. Оценка социально-экономического эффекта от реализации программных мероприятий.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 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результатом реализации понимаются: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снижение рисков пожаров и смягчение возможных последствий;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повышение безопасности населения и защищенности критически важных объектов от угроз пожаров.</w:t>
      </w:r>
    </w:p>
    <w:p w:rsidR="00B619E2" w:rsidRPr="00C426FE" w:rsidRDefault="00B619E2" w:rsidP="00B61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 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и </w:t>
      </w:r>
      <w:proofErr w:type="spellStart"/>
      <w:r w:rsidRPr="00C426FE"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 w:rsidRPr="00C426FE">
        <w:rPr>
          <w:rFonts w:ascii="Times New Roman" w:hAnsi="Times New Roman"/>
          <w:sz w:val="28"/>
          <w:szCs w:val="28"/>
        </w:rPr>
        <w:t xml:space="preserve"> работ.</w:t>
      </w:r>
    </w:p>
    <w:p w:rsidR="00B619E2" w:rsidRPr="00C426FE" w:rsidRDefault="00B619E2" w:rsidP="00B619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Экономическая эффективность мероприятий Программы в связи со спецификой решаемых проблем может быть прямой и косвенной.</w:t>
      </w:r>
    </w:p>
    <w:p w:rsidR="00B619E2" w:rsidRPr="00C426FE" w:rsidRDefault="00B619E2" w:rsidP="00B619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мероприятий Программы, а косвенная – снижение экономического ущерба, полученного в результате пожаров.</w:t>
      </w:r>
    </w:p>
    <w:p w:rsidR="00B619E2" w:rsidRPr="00C426FE" w:rsidRDefault="00B619E2" w:rsidP="00B619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Экономическая эффективность мероприятий Программы, обеспечивающих снижение рисков пожаров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пожаров с размером затрат на эти мероприятия и размером непредотвращенного ущерба.</w:t>
      </w:r>
    </w:p>
    <w:p w:rsidR="00B619E2" w:rsidRPr="00C426FE" w:rsidRDefault="00B619E2" w:rsidP="00B619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Экономическая эффективность и результативность реализации Программы в основном зависят от степени достижения целевых пок</w:t>
      </w:r>
      <w:r w:rsidR="00BD27FA">
        <w:rPr>
          <w:rFonts w:ascii="Times New Roman" w:hAnsi="Times New Roman"/>
          <w:sz w:val="28"/>
          <w:szCs w:val="28"/>
        </w:rPr>
        <w:t xml:space="preserve">азателей, которые приведены в </w:t>
      </w:r>
      <w:bookmarkStart w:id="0" w:name="_GoBack"/>
      <w:bookmarkEnd w:id="0"/>
      <w:r w:rsidRPr="00C426FE">
        <w:rPr>
          <w:rFonts w:ascii="Times New Roman" w:hAnsi="Times New Roman"/>
          <w:sz w:val="28"/>
          <w:szCs w:val="28"/>
        </w:rPr>
        <w:t xml:space="preserve">настоящей Программе.  </w:t>
      </w:r>
    </w:p>
    <w:p w:rsidR="00B619E2" w:rsidRPr="00C426FE" w:rsidRDefault="00B619E2" w:rsidP="00B619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Экономическая эффективность мероприятий Программы, обеспечивающих снижение рисков пожаров и повышение уровня защиты критически важных объектов и населения, оценивается путем сравнения суммы предотвращенного ущерба от социальных, экологических и экономических последствий пожаров с затратами на каждое мероприятие Программы. Предусматриваемые затраты позволят сократить   количество пожаров.</w:t>
      </w:r>
    </w:p>
    <w:p w:rsidR="00B619E2" w:rsidRPr="007F7DCB" w:rsidRDefault="00B619E2" w:rsidP="00B619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6.  Оценка результативности и эффективности мероприятий целевой программы по обеспечению первичных мер пожарной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Требование детального обоснования результативности и эффективности каждого мероприятия Программы определяется необходимостью включения в Программу только тех из них, которые обеспечиваются реальными возможностями местного бюджета и достигают целей Программы с наименьшими финансовыми затратами.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Обоснования результативности и эффективности мероприятий Программы должны удовлетворять требованиям по качеству и полноте </w:t>
      </w:r>
      <w:r w:rsidRPr="00C426FE">
        <w:rPr>
          <w:rFonts w:ascii="Times New Roman" w:hAnsi="Times New Roman"/>
          <w:sz w:val="28"/>
          <w:szCs w:val="28"/>
        </w:rPr>
        <w:lastRenderedPageBreak/>
        <w:t xml:space="preserve">информации, комплексности, раздельной оценке результативности и эффективности, вариантности. 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 Комплексность означает требование обоснования предлагаемого мероприятия Программы с финансовых, социальных, технических, экологических и экономических позиций.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Оценка результативности и оценка эффективности означает необходимость представления самостоятельного обоснования каждого из этих параметров.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Под результативностью понимается степень достижения конечных целей за счет реализации конкретного мероприятия Программы. Под эффективностью понимается абсолютная и сравнительная экономическая выгодность реализации мероприятия Программы.</w:t>
      </w:r>
    </w:p>
    <w:p w:rsidR="00B619E2" w:rsidRPr="00C426FE" w:rsidRDefault="00B619E2" w:rsidP="00B6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 Рассмотрение различных вариантов реализации мероприятий Программы не должно являться самоцелью. Задачей является отбор того варианта мероприятия Программы, который позволит достигнуть цели с наименьшими затратами ресурсов или в более короткие сроки.</w:t>
      </w:r>
    </w:p>
    <w:p w:rsidR="00B619E2" w:rsidRDefault="00B619E2" w:rsidP="00B6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 </w:t>
      </w:r>
    </w:p>
    <w:p w:rsidR="002A0FE2" w:rsidRDefault="002A0FE2"/>
    <w:sectPr w:rsidR="002A0FE2" w:rsidSect="00BD27F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1A9F"/>
    <w:multiLevelType w:val="multilevel"/>
    <w:tmpl w:val="DD1027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9E2"/>
    <w:rsid w:val="002A0FE2"/>
    <w:rsid w:val="006E30FE"/>
    <w:rsid w:val="009C318E"/>
    <w:rsid w:val="00B619E2"/>
    <w:rsid w:val="00BD27FA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E1C7F-5B85-4E16-9546-A1056A9C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619E2"/>
    <w:pPr>
      <w:tabs>
        <w:tab w:val="left" w:pos="708"/>
      </w:tabs>
      <w:suppressAutoHyphens/>
      <w:spacing w:line="276" w:lineRule="atLeast"/>
      <w:ind w:left="720"/>
    </w:pPr>
    <w:rPr>
      <w:rFonts w:ascii="Liberation Serif" w:eastAsia="Liberation Serif" w:hAnsi="Times New Roman" w:cs="Calibri"/>
      <w:color w:val="00000A"/>
      <w:lang w:eastAsia="zh-CN" w:bidi="hi-IN"/>
    </w:rPr>
  </w:style>
  <w:style w:type="table" w:styleId="a3">
    <w:name w:val="Table Grid"/>
    <w:basedOn w:val="a1"/>
    <w:uiPriority w:val="59"/>
    <w:rsid w:val="00B619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2022-09-20T05:13:00Z</cp:lastPrinted>
  <dcterms:created xsi:type="dcterms:W3CDTF">2022-09-13T04:37:00Z</dcterms:created>
  <dcterms:modified xsi:type="dcterms:W3CDTF">2022-09-20T05:13:00Z</dcterms:modified>
</cp:coreProperties>
</file>